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8D3" w:rsidRPr="003A29AE" w:rsidRDefault="009728D3" w:rsidP="00972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9A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2771377" wp14:editId="2D326298">
            <wp:simplePos x="0" y="0"/>
            <wp:positionH relativeFrom="column">
              <wp:posOffset>269875</wp:posOffset>
            </wp:positionH>
            <wp:positionV relativeFrom="paragraph">
              <wp:posOffset>-50165</wp:posOffset>
            </wp:positionV>
            <wp:extent cx="810260" cy="911860"/>
            <wp:effectExtent l="0" t="0" r="8890" b="254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 Gminy Bierzwnik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www.bierzwnik.pl, </w:t>
      </w:r>
      <w:hyperlink r:id="rId9" w:history="1">
        <w:r w:rsidRPr="003A29A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de-DE" w:eastAsia="ar-SA"/>
          </w:rPr>
          <w:t>www.bip.bierzwnik.pl</w:t>
        </w:r>
      </w:hyperlink>
    </w:p>
    <w:p w:rsidR="00370A91" w:rsidRPr="003A29AE" w:rsidRDefault="00370A91" w:rsidP="00370A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70A91" w:rsidRPr="00AB6BBA" w:rsidRDefault="00A27838" w:rsidP="00370A9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pict>
          <v:rect id="_x0000_i1025" style="width:0;height:1.5pt" o:hralign="center" o:hrstd="t" o:hr="t" fillcolor="gray" stroked="f"/>
        </w:pict>
      </w:r>
    </w:p>
    <w:p w:rsidR="00ED6CC4" w:rsidRPr="00ED6CC4" w:rsidRDefault="00ED6CC4" w:rsidP="00ED6CC4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ED6CC4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IS.II.6730.</w:t>
      </w:r>
      <w:r w:rsidR="00CD1483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47</w:t>
      </w:r>
      <w:r w:rsidR="00E233EF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2022</w:t>
      </w:r>
      <w:r w:rsidR="00BE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>Bierzwnik</w:t>
      </w:r>
      <w:r w:rsid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23 grudnia</w:t>
      </w:r>
      <w:r w:rsidR="00BE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ED6CC4" w:rsidRPr="00ED6CC4" w:rsidRDefault="00ED6CC4" w:rsidP="00ED6CC4">
      <w:pPr>
        <w:suppressAutoHyphens/>
        <w:spacing w:after="0"/>
        <w:rPr>
          <w:rFonts w:ascii="Times New Roman" w:eastAsia="Times New Roman" w:hAnsi="Times New Roman" w:cs="Arial Unicode MS"/>
          <w:sz w:val="16"/>
          <w:szCs w:val="24"/>
          <w:lang w:eastAsia="pl-PL"/>
        </w:rPr>
      </w:pPr>
    </w:p>
    <w:p w:rsidR="00ED6CC4" w:rsidRPr="00ED6CC4" w:rsidRDefault="00ED6CC4" w:rsidP="00ED6CC4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BF40BB" w:rsidRPr="00BF40BB" w:rsidRDefault="00BF40BB" w:rsidP="00BF40BB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1D1B85" w:rsidRPr="00391BE6" w:rsidRDefault="001D1B85" w:rsidP="001D1B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1483" w:rsidRPr="00CD1483" w:rsidRDefault="00CD1483" w:rsidP="00105B0F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  <w:t>DECYZJ</w:t>
      </w:r>
      <w:r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  <w:t>A</w:t>
      </w: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 ustaleniu warunków zabudowy</w:t>
      </w:r>
    </w:p>
    <w:p w:rsidR="00CD1483" w:rsidRPr="00CD1483" w:rsidRDefault="00CD1483" w:rsidP="00105B0F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59 ust. 1, w związku z art. 4 ust. 2 pkt 2, art. 60 ust. 1 oraz art. 61 ust. 1 ustawy z dnia 27 marca 2003 r. o planowaniu i zagospodarowaniu przestrzennym (</w:t>
      </w:r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2022 poz. 503</w:t>
      </w:r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zgodnie z rozporządzeniem Ministra Infrastruktury z dnia 26 sierpnia 2003 r. w sprawie sposobu ustalania wymagań dotyczących nowej zabudowy i zagospodarowania terenu w przypadku braku miejscowego planu zagospodarowania przestrzennego (Dz. U. z 2003 r. Nr 164, poz. 1588 z </w:t>
      </w:r>
      <w:proofErr w:type="spellStart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z rozporządzeniem Ministra Infrastruktury z dnia 26 sierpnia 2003 r. w sprawie oznaczeń i nazewnictwa stosowanych w decyzji o ustaleniu lokalizacji inwestycji celu publicznego oraz w decyzji o warunkach zabudowy (Dz. U. z 2003 r. Nr 164, poz. 1589) w trybie art. 104 ustawy z dnia 14 czerwca 1960 r. – Kodeks postępowania administracyjnego (</w:t>
      </w:r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2022 r. poz. 2000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po ro</w:t>
      </w:r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zpatrzeniu wniosku z dnia 23 września 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r., który złożyła firma: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Solar SGE II Sp. z o.o.</w:t>
      </w: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Bolesława Śmiałego 15/8</w:t>
      </w: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70-351 Szczecin</w:t>
      </w:r>
    </w:p>
    <w:p w:rsidR="00CD1483" w:rsidRPr="00CD1483" w:rsidRDefault="00CD1483" w:rsidP="00105B0F">
      <w:pPr>
        <w:suppressAutoHyphens/>
        <w:spacing w:after="0" w:line="360" w:lineRule="auto"/>
        <w:contextualSpacing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t a l a m</w:t>
      </w: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zabudowy</w:t>
      </w: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składającej się z części działek oznaczonych numerami </w:t>
      </w:r>
      <w:proofErr w:type="spellStart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.: 280 i 282/1,</w:t>
      </w: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załączniku graficznym niniejszej decyzji jako teren inwestycyjny,</w:t>
      </w: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obrębie geodezyjnym Bierzwnik, gmina Bierzwnik,</w:t>
      </w: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483" w:rsidRPr="00CD1483" w:rsidRDefault="00CD1483" w:rsidP="00105B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inwestycji polegającej na:</w:t>
      </w:r>
    </w:p>
    <w:p w:rsidR="00CD1483" w:rsidRPr="00CD1483" w:rsidRDefault="00CD1483" w:rsidP="00105B0F">
      <w:pPr>
        <w:suppressAutoHyphens/>
        <w:spacing w:after="0" w:line="36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budowie farmy fotowoltaicznej o mocy do 5MW lub farm fotowoltaicznych o łącznej mocy nieprzekraczającej 5 MW wraz z niezbędną infrastrukturą</w:t>
      </w:r>
    </w:p>
    <w:p w:rsidR="00CD1483" w:rsidRPr="00CD1483" w:rsidRDefault="00CD1483" w:rsidP="00105B0F">
      <w:pPr>
        <w:suppressAutoHyphens/>
        <w:spacing w:after="0" w:line="36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483" w:rsidRPr="00CD1483" w:rsidRDefault="00CD1483" w:rsidP="00105B0F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inwestycji: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odnawialnego źródła energii.</w:t>
      </w:r>
    </w:p>
    <w:p w:rsidR="00CD1483" w:rsidRPr="00CD1483" w:rsidRDefault="00CD1483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483" w:rsidRPr="00CD1483" w:rsidRDefault="00CD1483" w:rsidP="00105B0F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analizę funkcji oraz cech zabudowy i zagospodarowania terenu, której wynik stanowi załącznik do niniejszej decyzji, przeprowadzoną na podstawie art. 53 ust. 3 oraz w związku z art. 61 ust 5a ustawy z dnia 27 marca 2003 r. o planowaniu i zagospodarowaniu przestrzennym dla planowanej inwestycji, ustalam następujące warunki i szczegółowe zasady zagospodarowania terenu oraz jego zabudowy, w zakresie:</w:t>
      </w:r>
    </w:p>
    <w:p w:rsidR="00CD1483" w:rsidRPr="00CD1483" w:rsidRDefault="00CD1483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483" w:rsidRPr="00CD1483" w:rsidRDefault="00CD1483" w:rsidP="00105B0F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warunków i wymagań ochrony i kształtowania ładu przestrzennego:</w:t>
      </w:r>
    </w:p>
    <w:p w:rsidR="00CD1483" w:rsidRPr="00CD1483" w:rsidRDefault="00CD1483" w:rsidP="00105B0F">
      <w:pPr>
        <w:suppressAutoHyphens/>
        <w:spacing w:after="0" w:line="360" w:lineRule="auto"/>
        <w:ind w:left="792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CD1483" w:rsidRPr="00CD1483" w:rsidRDefault="00CD1483" w:rsidP="00105B0F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nieprzekraczalna linia zabudowy w odległości:</w:t>
      </w:r>
    </w:p>
    <w:p w:rsidR="00CD1483" w:rsidRPr="00CD1483" w:rsidRDefault="00CD1483" w:rsidP="00105B0F">
      <w:pPr>
        <w:numPr>
          <w:ilvl w:val="3"/>
          <w:numId w:val="5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15 m od granicy z działką oznaczoną nr </w:t>
      </w:r>
      <w:proofErr w:type="spellStart"/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ewid</w:t>
      </w:r>
      <w:proofErr w:type="spellEnd"/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. 279 i 294</w:t>
      </w:r>
    </w:p>
    <w:p w:rsidR="00CD1483" w:rsidRPr="00CD1483" w:rsidRDefault="00CD1483" w:rsidP="00105B0F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zgodnie z załącznikiem graficznym do decyzji (przez nieprzekraczalną linię zabudowy należy rozumieć linię wyznaczającą maksymalne dopuszczalne przybliżenie ściany frontowej projektowanego budynku /obiektu budowlanego/, bez prawa jej przekraczania, za wyjątkiem balkonów, wykuszy, gzymsów, okapów dachów, schodów zewnętrznych itp.),</w:t>
      </w:r>
    </w:p>
    <w:p w:rsidR="00CD1483" w:rsidRPr="00CD1483" w:rsidRDefault="00CD1483" w:rsidP="00105B0F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powierzchnia zabudowy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do 36 000m</w:t>
      </w:r>
      <w:r w:rsidRPr="00CD1483">
        <w:rPr>
          <w:rFonts w:ascii="Times New Roman" w:eastAsia="Times New Roman" w:hAnsi="Times New Roman" w:cs="Arial Unicode MS"/>
          <w:sz w:val="24"/>
          <w:szCs w:val="24"/>
          <w:vertAlign w:val="superscript"/>
          <w:lang w:eastAsia="pl-PL"/>
        </w:rPr>
        <w:t>2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, udział powierzchni biologicznie czynnej w powierzchni działki nie mniej niż 45%,</w:t>
      </w:r>
    </w:p>
    <w:p w:rsidR="00CD1483" w:rsidRPr="00CD1483" w:rsidRDefault="00CD1483" w:rsidP="00105B0F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szerokość elewacji frontowej </w:t>
      </w:r>
      <w:bookmarkStart w:id="0" w:name="_Hlk36125712"/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</w:t>
      </w:r>
      <w:bookmarkEnd w:id="0"/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: </w:t>
      </w:r>
      <w:r w:rsidRPr="00CD1483">
        <w:rPr>
          <w:rFonts w:ascii="Times New Roman" w:eastAsia="Times New Roman" w:hAnsi="Times New Roman" w:cs="Arial Unicode MS"/>
          <w:color w:val="FF0000"/>
          <w:sz w:val="24"/>
          <w:szCs w:val="24"/>
          <w:lang w:eastAsia="pl-PL"/>
        </w:rPr>
        <w:t>do 10 m,</w:t>
      </w:r>
    </w:p>
    <w:p w:rsidR="00CD1483" w:rsidRPr="00CD1483" w:rsidRDefault="00CD1483" w:rsidP="00105B0F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maksymalna wysokość górnej krawędzi elewacji frontowej 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transformatorowej, jej gzymsu, attyki lub okapu głównego dachu, liczona od średniego poziomu terenu przed głównym wejściem do budynku: 4 m,</w:t>
      </w:r>
    </w:p>
    <w:p w:rsidR="00CD1483" w:rsidRPr="00CD1483" w:rsidRDefault="00CD1483" w:rsidP="00105B0F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geometria dachu 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transformatorowej:</w:t>
      </w:r>
    </w:p>
    <w:p w:rsidR="00CD1483" w:rsidRPr="00CD1483" w:rsidRDefault="00CD1483" w:rsidP="00105B0F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kąt nachylenia: do 18º,</w:t>
      </w:r>
    </w:p>
    <w:p w:rsidR="00CD1483" w:rsidRPr="00CD1483" w:rsidRDefault="00CD1483" w:rsidP="00105B0F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maksymalna wysokość głównej kalenicy: 4 m,</w:t>
      </w:r>
    </w:p>
    <w:p w:rsidR="00CD1483" w:rsidRPr="00CD1483" w:rsidRDefault="00CD1483" w:rsidP="00105B0F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układ połaci dachowych: dach płaski,</w:t>
      </w:r>
    </w:p>
    <w:p w:rsidR="00CD1483" w:rsidRPr="00CD1483" w:rsidRDefault="00CD1483" w:rsidP="00105B0F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kierunek głównej kalenicy dachu w stosunku do frontu działki: dowolnie;</w:t>
      </w:r>
    </w:p>
    <w:p w:rsidR="00CD1483" w:rsidRPr="00CD1483" w:rsidRDefault="00CD1483" w:rsidP="00105B0F">
      <w:pPr>
        <w:suppressAutoHyphens/>
        <w:spacing w:after="0" w:line="360" w:lineRule="auto"/>
        <w:ind w:left="1701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CD1483" w:rsidRPr="00CD1483" w:rsidRDefault="00CD1483" w:rsidP="00105B0F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ochrony środowiska i zdrowia ludzi oraz dziedzictwa kulturowego i zabytków oraz dóbr kultury współczesnej:</w:t>
      </w:r>
    </w:p>
    <w:p w:rsidR="00CD1483" w:rsidRPr="00CD1483" w:rsidRDefault="00CD1483" w:rsidP="00105B0F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>inwestycja jest wymieniona w rozporządzeniu Rady Ministrów z dnia 10 września 2019 r. w sprawie przedsięwzięć mogących znacząco oddziaływać na środowisko (Dz. U. z 2019 r. poz. 1839),</w:t>
      </w:r>
    </w:p>
    <w:p w:rsidR="00CD1483" w:rsidRPr="00CD1483" w:rsidRDefault="00CD1483" w:rsidP="00105B0F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inwestycja zlokalizowana jest na terenie </w:t>
      </w:r>
      <w:r w:rsidRPr="00CD1483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Natura 2000 Lasy Puszczy nad Drawą, </w:t>
      </w:r>
    </w:p>
    <w:p w:rsidR="00CD1483" w:rsidRPr="00CD1483" w:rsidRDefault="00CD1483" w:rsidP="00105B0F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na etapie przygotowania i realizacji winna być prowadzona z zachowaniem przepisów ustawy z dnia 27 kwietnia 2001 r. Prawo ochrony środowiska (</w:t>
      </w:r>
      <w:r w:rsidR="00105B0F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2021 r. poz. 1973 z </w:t>
      </w:r>
      <w:proofErr w:type="spellStart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CD1483" w:rsidRPr="00CD1483" w:rsidRDefault="00CD1483" w:rsidP="00105B0F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powinna być zaprojektowana i wykonana zgodnie z ustaleniami zawartymi w decyzji o środowiskowych uwarunkowaniach zgody na realizację przedsi</w:t>
      </w:r>
      <w:r w:rsidR="00105B0F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ęwzięcia nr 6/2022, znak: IS.IV.6220.6.4.2022 z dnia 19 lipca 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2022 r.,</w:t>
      </w:r>
    </w:p>
    <w:p w:rsidR="00CD1483" w:rsidRPr="00CD1483" w:rsidRDefault="00CD1483" w:rsidP="00105B0F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uciążliwości związane z funkcjonowaniem projektowanej inwestycji w tym hałas i wibracje, powinny ograniczać się do granic terenu objętego decyzją,</w:t>
      </w:r>
    </w:p>
    <w:p w:rsidR="00CD1483" w:rsidRPr="00CD1483" w:rsidRDefault="00CD1483" w:rsidP="00105B0F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w razie odkrycia przedmiotu, co do którego istnieje przypuszczenie, iż jest on zabytkiem należy wstrzymać wszelkie roboty mogące uszkodzić lub zniszczyć odkryty przedmiot, zabezpieczyć miejsce odkrycia, a także zgłosić napotkane obiekty archeologiczne do Wojewódzkiego Konserwatora Zabytków, a jeśli nie jest to możliwe do Wójta Gminy Bierzwnik,</w:t>
      </w:r>
    </w:p>
    <w:p w:rsidR="00CD1483" w:rsidRPr="00CD1483" w:rsidRDefault="00CD1483" w:rsidP="00105B0F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lang w:eastAsia="pl-PL"/>
        </w:rPr>
      </w:pPr>
    </w:p>
    <w:p w:rsidR="00CD1483" w:rsidRPr="00CD1483" w:rsidRDefault="00CD1483" w:rsidP="00105B0F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obsługi w zakresie infrastruktury technicznej i komunikacji:</w:t>
      </w:r>
    </w:p>
    <w:p w:rsidR="00CD1483" w:rsidRPr="00CD1483" w:rsidRDefault="00CD1483" w:rsidP="00105B0F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wodę: nie dotyczy,</w:t>
      </w:r>
    </w:p>
    <w:p w:rsidR="00CD1483" w:rsidRPr="00CD1483" w:rsidRDefault="00CD1483" w:rsidP="00105B0F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energię elektryczną: na warunkach gestora sieci,</w:t>
      </w:r>
    </w:p>
    <w:p w:rsidR="00CD1483" w:rsidRPr="00CD1483" w:rsidRDefault="00CD1483" w:rsidP="00105B0F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energię cieplną: nie dotyczy,</w:t>
      </w:r>
    </w:p>
    <w:p w:rsidR="00CD1483" w:rsidRPr="00CD1483" w:rsidRDefault="00CD1483" w:rsidP="00105B0F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odprowadzania ścieków: nie dotyczy,</w:t>
      </w:r>
    </w:p>
    <w:p w:rsidR="00CD1483" w:rsidRPr="00CD1483" w:rsidRDefault="00CD1483" w:rsidP="00105B0F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odprowadzania wód opadowych lub roztopowych: na własny teren nieutwardzony, zabrania się dokonywania zmiany naturalnego spływu wód opadowych i roztopowych w celu kierowania ich na teren sąsiednich nieruchomości,</w:t>
      </w:r>
    </w:p>
    <w:p w:rsidR="00CD1483" w:rsidRPr="00CD1483" w:rsidRDefault="00CD1483" w:rsidP="00105B0F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gospodarowania odpadami: zgodnie z przepisami odrębnymi,</w:t>
      </w:r>
    </w:p>
    <w:p w:rsidR="00CD1483" w:rsidRPr="00CD1483" w:rsidRDefault="00CD1483" w:rsidP="00105B0F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dostęp do drogi publicznej: zjazd z drogi, stanowiącej działkę oznaczoną nr </w:t>
      </w:r>
      <w:proofErr w:type="spellStart"/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ewid</w:t>
      </w:r>
      <w:proofErr w:type="spellEnd"/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. 279 lub 294; każdy nowo projektowany zjazd z drogi należy uzgodnić z jej zarządcą,</w:t>
      </w:r>
    </w:p>
    <w:p w:rsidR="00CD1483" w:rsidRPr="00CD1483" w:rsidRDefault="00CD1483" w:rsidP="00105B0F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wymagana ilość miejsc postojowych: zapewnić w granicach działki minimum 2 miejsca postojowe dla samochodów osobowych – przy czym, do wymaganej liczby miejsc postojowych można wliczać ilość stanowisk postojowych w garażu;</w:t>
      </w:r>
    </w:p>
    <w:p w:rsidR="00CD1483" w:rsidRPr="00CD1483" w:rsidRDefault="00CD1483" w:rsidP="00105B0F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CD1483" w:rsidRPr="00CD1483" w:rsidRDefault="00CD1483" w:rsidP="00105B0F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lastRenderedPageBreak/>
        <w:t>wymagań dotyczących ochrony interesów osób trzecich:</w:t>
      </w:r>
    </w:p>
    <w:p w:rsidR="00CD1483" w:rsidRPr="00CD1483" w:rsidRDefault="00CD1483" w:rsidP="00105B0F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Inwestor zobowiązany jest do przestrzegania przy projektowaniu i wykonywaniu planowanej inwestycji zapisów ustawy Prawo wodne (</w:t>
      </w:r>
      <w:r w:rsidR="00105B0F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2021 r. poz. 2233 z </w:t>
      </w:r>
      <w:proofErr w:type="spellStart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CD1483" w:rsidRPr="00CD1483" w:rsidRDefault="00CD1483" w:rsidP="00105B0F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projektowane obiekty budowlane powinny spełniać wymogi ustawy Prawo budowlane (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2021 r. poz. 2351 z </w:t>
      </w:r>
      <w:proofErr w:type="spellStart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CD1483" w:rsidRPr="00CD1483" w:rsidRDefault="00CD1483" w:rsidP="00105B0F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niniejsza decyzja nie rodzi praw do terenu oraz nie narusza prawa własności i uprawnień osób trzecich (art. 63 ust. 2 ustawy o planowaniu i zagospodarowaniu przestrzennym) ,</w:t>
      </w:r>
    </w:p>
    <w:p w:rsidR="00CD1483" w:rsidRPr="00CD1483" w:rsidRDefault="00CD1483" w:rsidP="00105B0F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Inwestor przy wykonywaniu swego prawa powinien powstrzymać się co do działań, które zakłócałyby korzystanie z nieruchomości sąsiednich;</w:t>
      </w:r>
    </w:p>
    <w:p w:rsidR="00CD1483" w:rsidRPr="00CD1483" w:rsidRDefault="00CD1483" w:rsidP="00105B0F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CD1483" w:rsidRPr="00CD1483" w:rsidRDefault="00CD1483" w:rsidP="00105B0F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ochrony obiektów budowlanych na terenach górniczych: </w:t>
      </w:r>
    </w:p>
    <w:p w:rsidR="00CD1483" w:rsidRPr="00CD1483" w:rsidRDefault="00CD1483" w:rsidP="00105B0F">
      <w:pPr>
        <w:numPr>
          <w:ilvl w:val="0"/>
          <w:numId w:val="11"/>
        </w:numPr>
        <w:suppressAutoHyphens/>
        <w:spacing w:after="0" w:line="360" w:lineRule="auto"/>
        <w:ind w:left="1276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teren objęty wnioskiem nie jest położony w granicach terenu i obszaru górniczego;</w:t>
      </w:r>
    </w:p>
    <w:p w:rsidR="00CD1483" w:rsidRPr="00CD1483" w:rsidRDefault="00CD1483" w:rsidP="00105B0F">
      <w:pPr>
        <w:suppressAutoHyphens/>
        <w:spacing w:after="0" w:line="360" w:lineRule="auto"/>
        <w:ind w:left="792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</w:p>
    <w:p w:rsidR="00CD1483" w:rsidRPr="00CD1483" w:rsidRDefault="00CD1483" w:rsidP="00105B0F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Linie rozgraniczające teren inwestycji oznacza się na kopii mapy zasadniczej stanowiącej integralną część decyzji.</w:t>
      </w:r>
    </w:p>
    <w:p w:rsidR="00CD1483" w:rsidRPr="00CD1483" w:rsidRDefault="00CD1483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483" w:rsidRPr="00CD1483" w:rsidRDefault="00CD1483" w:rsidP="00105B0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eren nie wymaga uzyskania zgody na zmianę przeznaczenia gruntów rolnych i leśnych na cele nierolnicze i nieleśne.</w:t>
      </w:r>
    </w:p>
    <w:p w:rsidR="00CD1483" w:rsidRPr="00CD1483" w:rsidRDefault="00CD1483" w:rsidP="00105B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483" w:rsidRPr="00CD1483" w:rsidRDefault="00CD1483" w:rsidP="00105B0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według przepisów odrębnych:</w:t>
      </w:r>
    </w:p>
    <w:p w:rsidR="00CD1483" w:rsidRPr="00CD1483" w:rsidRDefault="00CD1483" w:rsidP="00105B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483" w:rsidRPr="00CD1483" w:rsidRDefault="00CD1483" w:rsidP="00105B0F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ochrona obiektów budowlanych na obszarach powodziowych: </w:t>
      </w:r>
      <w:r w:rsidRPr="00CD1483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nie dotyczy;</w:t>
      </w:r>
    </w:p>
    <w:p w:rsidR="00CD1483" w:rsidRPr="00CD1483" w:rsidRDefault="00CD1483" w:rsidP="00105B0F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483" w:rsidRPr="00CD1483" w:rsidRDefault="00CD1483" w:rsidP="00105B0F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warunki:</w:t>
      </w:r>
    </w:p>
    <w:p w:rsidR="00CD1483" w:rsidRPr="00CD1483" w:rsidRDefault="00CD1483" w:rsidP="00105B0F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W przypadku uszkodzenia istniejących urządzeń melioracji wodnych należy dokonać ich naprawy w sposób umożliwiający zachowanie dotychczasowych kierunków spływu.</w:t>
      </w:r>
    </w:p>
    <w:p w:rsidR="00CD1483" w:rsidRPr="00CD1483" w:rsidRDefault="00CD1483" w:rsidP="00105B0F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musi spełniać wymogi rozporządzenia Ministra Infrastruktury z dnia 12 kwietnia 2002 r. w sprawie warunków technicznych, jakim powinny odpowiadać budynki i ich usytuowanie (</w:t>
      </w:r>
      <w:r w:rsidR="00105B0F">
        <w:rPr>
          <w:rFonts w:ascii="Times New Roman" w:eastAsia="Times New Roman" w:hAnsi="Times New Roman" w:cs="Arial Unicode MS"/>
          <w:sz w:val="24"/>
          <w:szCs w:val="24"/>
          <w:lang w:eastAsia="pl-PL"/>
        </w:rPr>
        <w:t>t. j. Dz. U. z 2022 r. poz. 1225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z </w:t>
      </w:r>
      <w:proofErr w:type="spellStart"/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późn</w:t>
      </w:r>
      <w:proofErr w:type="spellEnd"/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. zm.).</w:t>
      </w:r>
    </w:p>
    <w:p w:rsidR="00CD1483" w:rsidRPr="00CD1483" w:rsidRDefault="00CD1483" w:rsidP="00105B0F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Zakres i forma projektu budowlanego powinna odpowiadać warunkom określonym w rozporządzeniu Ministra Rozwoju z dnia 11 września 2020 r. w sprawie 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>szczegółowego zakresu i formy projektu budowlanego (</w:t>
      </w:r>
      <w:r w:rsidR="00105B0F">
        <w:rPr>
          <w:rFonts w:ascii="Times New Roman" w:eastAsia="Times New Roman" w:hAnsi="Times New Roman" w:cs="Arial Unicode MS"/>
          <w:sz w:val="24"/>
          <w:szCs w:val="24"/>
          <w:lang w:eastAsia="pl-PL"/>
        </w:rPr>
        <w:t>t. j. Dz. U. z 2022 r. poz. 1679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).</w:t>
      </w:r>
    </w:p>
    <w:p w:rsidR="00CD1483" w:rsidRPr="00CD1483" w:rsidRDefault="00CD1483" w:rsidP="00105B0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eastAsia="pl-PL"/>
        </w:rPr>
        <w:t>Należy zachować zgodne z przepisami Prawa budowlanego, przepisami szczegółowymi i Polskimi Normami odległości projektowanych obiektów od innych obiektów budowlanych i terenów oraz od infrastruktury podziemnej i nadziemnej przebiegającej przez teren objęty decyzją i w jego bezpośrednim otoczeniu. Zaleca się uzgodnienie ww. odległości z właścicielami sieci. Dopuszcza się usunięcie kolizji na warunkach określonych przez właściciela sieci.</w:t>
      </w:r>
    </w:p>
    <w:p w:rsidR="00CD1483" w:rsidRPr="00CD1483" w:rsidRDefault="00CD1483" w:rsidP="00105B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483" w:rsidRPr="00CD1483" w:rsidRDefault="00CD1483" w:rsidP="00105B0F">
      <w:pPr>
        <w:keepNext/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U Z A S A D N I E N I E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1483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W dniu </w:t>
      </w:r>
      <w:r w:rsidR="00105B0F">
        <w:rPr>
          <w:rFonts w:ascii="Times New Roman" w:eastAsia="Times New Roman" w:hAnsi="Times New Roman" w:cs="Arial Unicode MS"/>
          <w:sz w:val="24"/>
          <w:szCs w:val="24"/>
          <w:lang w:eastAsia="x-none"/>
        </w:rPr>
        <w:t xml:space="preserve">23 września </w:t>
      </w:r>
      <w:r w:rsidRPr="00CD1483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>20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x-none"/>
        </w:rPr>
        <w:t>22</w:t>
      </w:r>
      <w:r w:rsidRPr="00CD1483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 r. do Urzędu 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x-none"/>
        </w:rPr>
        <w:t>Gminy</w:t>
      </w:r>
      <w:r w:rsidRPr="00CD1483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 w </w:t>
      </w:r>
      <w:r w:rsidRPr="00CD1483">
        <w:rPr>
          <w:rFonts w:ascii="Times New Roman" w:eastAsia="Times New Roman" w:hAnsi="Times New Roman" w:cs="Arial Unicode MS"/>
          <w:sz w:val="24"/>
          <w:szCs w:val="24"/>
          <w:lang w:eastAsia="x-none"/>
        </w:rPr>
        <w:t>Bierzwniku</w:t>
      </w:r>
      <w:r w:rsidRPr="00CD1483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 wpłynął wniosek w </w:t>
      </w:r>
      <w:r w:rsidRPr="00CD14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przedmiotowej sprawie. W myśl art. 104 ustawy z dnia 14 czerwca 1960 r. – Kodeks postępowania administracyjnego w tut. Urzędzie przeprowadzono postępowanie administracyjne w sprawie wydania przedmiotowej decyzji o warunkach zabudowy i zagospodarowania terenu. Organ zapewnił stronom czynny udział na każdym etapie prowadzonego postępowania.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Wnioskowany teren nie jest objęty miejscowym planem zagospodarowania przestrzennego. Wobec powyższego, postępowanie o wydanie niniejszej decyzji było prowadzone zgodnie z wymogami ustawy z dnia 27 marca 2003 r. o planowaniu i zagospodarowaniu przestrzennym, jak dla terenu, dla którego brak jest miejscowego planu zagospodarowania przestrzennego i dla inwestycji, dla której nie ma obowiązku sporządzania takiego planu.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 wymogami art. 61 ust. 1 ustawy z dnia 27 marca 2003 r. o planowaniu i zagospodarowaniu przestrzennym wydanie decyzji o warunkach zabudowy i zagospodarowania terenu jest możliwe w przypadku łącznego spełniania poniższych warunków:</w:t>
      </w:r>
    </w:p>
    <w:p w:rsidR="00CD1483" w:rsidRPr="00CD1483" w:rsidRDefault="00CD1483" w:rsidP="00105B0F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CD1483" w:rsidRPr="00CD1483" w:rsidRDefault="00CD1483" w:rsidP="00105B0F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ma dostęp do drogi publicznej;</w:t>
      </w:r>
    </w:p>
    <w:p w:rsidR="00CD1483" w:rsidRPr="00CD1483" w:rsidRDefault="00CD1483" w:rsidP="00105B0F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 lub projektowane uzbrojenie terenu jest wystarczające dla zamierzenia budowlanego (za spełnienie tego warunku uznaje się umowę gwarantującą wykonanie uzbrojenia terenu, zawartą pomiędzy właściwą jednostka organizacyjną, a inwestorem);</w:t>
      </w:r>
    </w:p>
    <w:p w:rsidR="00CD1483" w:rsidRPr="00CD1483" w:rsidRDefault="00CD1483" w:rsidP="00105B0F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teren nie wymaga uzyskania zgody na zmianę przeznaczenia gruntów rolnych i leśnych na cele nierolnicze i nieleśne albo jest objęty zgodą uzyskaną przy sporządzaniu miejscowych planów, które utraciły moc na podstawie art. 67 ustawy z dnia 7 lipca 1994 r. o zagospodarowaniu przestrzennym;</w:t>
      </w:r>
    </w:p>
    <w:p w:rsidR="00CD1483" w:rsidRPr="00CD1483" w:rsidRDefault="00CD1483" w:rsidP="00105B0F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jest zgodna z przepisami odrębnymi;</w:t>
      </w:r>
    </w:p>
    <w:p w:rsidR="00CD1483" w:rsidRPr="00CD1483" w:rsidRDefault="00CD1483" w:rsidP="00105B0F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zamierzenie budowlane nie znajdzie się w obszarze:</w:t>
      </w:r>
    </w:p>
    <w:p w:rsidR="00CD1483" w:rsidRPr="00CD1483" w:rsidRDefault="00CD1483" w:rsidP="00105B0F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decyzją o ustaleniu lokalizacji strategicznej inwestycji w zakresie sieci przesyłowej, o której mowa w art. 5 ust. 1 ustawy z dnia 24 lipca 2015 r. o przygotowaniu i realizacji strategicznych inwestycji w zakresie sieci przesyłowych (</w:t>
      </w:r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poz. 273 z </w:t>
      </w:r>
      <w:proofErr w:type="spellStart"/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ustanowiony został zakaz, o którym mowa w art. 22 ust. 2 pkt 1 tej ustawy,</w:t>
      </w:r>
    </w:p>
    <w:p w:rsidR="00CD1483" w:rsidRPr="00CD1483" w:rsidRDefault="00CD1483" w:rsidP="00105B0F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kontrolowanej wyznaczonej po obu stronach gazociągu,</w:t>
      </w:r>
    </w:p>
    <w:p w:rsidR="00CD1483" w:rsidRPr="00CD1483" w:rsidRDefault="00CD1483" w:rsidP="00105B0F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bezpieczeństwa wyznaczonej po obu stronach rurociągu.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Wymóg  kontynuacji  funkcji,  w  tym  także  cech  zabudowy  i  zagospodarowania terenu, został wyłączony przez ustawodawcę w odniesieniu do instalacji odnawialnego źródła energii w rozumieniu art. 2 pkt 13 ustawy z dnia 20 lutego 2015 r. o odnawialnych źródłach energii.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 z  art.  2  pkt  13  ww.  przytoczonej  ustawy  przez  instalację  odnawialnego źródła energii należy rozumieć instalację stanowiącą wyodrębniony zespół urządzeń służących do wytwarzania energii opisanych przez dane techniczne i handlowe, w których energia jest  wytwarzana z odnawialnych źródeł energii; lub obiektów budowlanych i urządzeń stanowiących  całość  techniczno-użytkową  służący do wytwarzania  biogazu  rolniczego,  a  także  połączony  z  tym zespołem magazyn energii, w tym magazyn biogazu rolniczego.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rozważania, elektrownia fotowoltaiczna to instalacja odnawialnego źródła  energii,  która  dla  uzyskania  warunków  zabudowy  nie  wymaga  spełnienia wymogu dobrego sąsiedztwa (kontynuacji funkcji), w tym także dostępu do drogi publicznej.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warunków i zasad zagospodarowania terenu oraz jego zabudowy, wynikających z przepisów odrębnych, stanu faktycznego i prawnego terenu, na którym przewiduje się realizację inwestycji (zgodnie z art. 53 ust. 3 ww. ustawy), na podstawie opisu inwestycji przedstawionego w wyżej wymienionym wniosku, ustalono powyższe warunki zabudowy terenu objętego wnioskiem.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5, art. 50 ust. 4 oraz art. 60 ust. 4 ustawy o planowaniu i zagospodarowaniu przestrzennym projekt decyzji o warunkach zabudowy i zagospodarowania terenu został przygotowany przez uprawnionego urbanistę.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53 ust. 4 ustawy o planowaniu i zagospodarowaniu przestrzennym wydanie  decyzji o warunkach zabudowy dla przedmiotowej inwestycji wymaga  uzyskania  uzgodnienia z:</w:t>
      </w:r>
    </w:p>
    <w:p w:rsidR="00CD1483" w:rsidRPr="00CD1483" w:rsidRDefault="00CD1483" w:rsidP="00105B0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6 ze Starostą Powiatu Choszczeń</w:t>
      </w:r>
      <w:r w:rsidR="00105B0F">
        <w:rPr>
          <w:rFonts w:ascii="Times New Roman" w:eastAsia="Times New Roman" w:hAnsi="Times New Roman" w:cs="Times New Roman"/>
          <w:sz w:val="24"/>
          <w:szCs w:val="24"/>
          <w:lang w:eastAsia="pl-PL"/>
        </w:rPr>
        <w:t>skiego- milcząca zgoda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1483" w:rsidRDefault="00CD1483" w:rsidP="00105B0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6 z Państwowym Gospodarstwe</w:t>
      </w:r>
      <w:r w:rsidR="003B18DF">
        <w:rPr>
          <w:rFonts w:ascii="Times New Roman" w:eastAsia="Times New Roman" w:hAnsi="Times New Roman" w:cs="Times New Roman"/>
          <w:sz w:val="24"/>
          <w:szCs w:val="24"/>
          <w:lang w:eastAsia="pl-PL"/>
        </w:rPr>
        <w:t>m Wodnym Wody Polskie – Zarząd Zlewni w Pile, postanowienie znak: BD.ZPU.2.522.1628.2022.MP z dnia 21 listopada 2022 r.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B1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zachowaniu następujących warunków:</w:t>
      </w:r>
    </w:p>
    <w:p w:rsidR="003B18DF" w:rsidRPr="00CD1483" w:rsidRDefault="00FE44AC" w:rsidP="003B18DF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280 i 282/1 obręb Bierzwnik, gmina Bierzwnik, graniczą ze śródlądową wodą powierzchniową płynącą- Strumień Płoszkowo (działka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278 obręb Bierzwnik, gmina Bierzwnik), w związku z powyższym Inwestor zobowiązany jest wykonać inwestycję w sposób uniemożliwiający zanieczyszczenie wód oraz uszkodzenie brzegów Strumienia Płoszkowo/</w:t>
      </w:r>
    </w:p>
    <w:p w:rsidR="00CD1483" w:rsidRPr="00CD1483" w:rsidRDefault="00CD1483" w:rsidP="00105B0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9 z zarządcą drogi gminnej, uzgodnienie wewnętrzne,</w:t>
      </w:r>
    </w:p>
    <w:p w:rsidR="00CD1483" w:rsidRPr="00CD1483" w:rsidRDefault="00CD1483" w:rsidP="00105B0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8 z Regionalnym Dyrektorem Ochrony Środowiska w Szczecinie, Wydział Spraw Terenowych w Zło</w:t>
      </w:r>
      <w:r w:rsidR="003B18DF">
        <w:rPr>
          <w:rFonts w:ascii="Times New Roman" w:eastAsia="Times New Roman" w:hAnsi="Times New Roman" w:cs="Times New Roman"/>
          <w:sz w:val="24"/>
          <w:szCs w:val="24"/>
          <w:lang w:eastAsia="pl-PL"/>
        </w:rPr>
        <w:t>cieńcu- milcząca zgoda.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organów uzgadniających uwzględnione zostały w niniejszej decyzji.</w:t>
      </w:r>
    </w:p>
    <w:p w:rsid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wydanie decyzji nie jest sprzeczne  przepisem  art. 61 ust.1 ustawy o planowaniu i zagospodarowaniu przestrzennym oraz z przepisami szczególnymi orzekam, jak na wstępie decyzji.</w:t>
      </w:r>
    </w:p>
    <w:p w:rsidR="00105B0F" w:rsidRDefault="00105B0F" w:rsidP="00105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5B0F" w:rsidRDefault="00105B0F" w:rsidP="00105B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6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ADNOTACJA O OPŁACIE SKARBOWEJ</w:t>
      </w:r>
    </w:p>
    <w:p w:rsidR="00105B0F" w:rsidRDefault="00105B0F" w:rsidP="00105B0F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B0F" w:rsidRPr="00113CAC" w:rsidRDefault="00105B0F" w:rsidP="00105B0F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podlega opłacie skarbowej w kwocie 598,00 złotych (pięćset dziewięćdziesiąt osiem złotych 00/100) zgodnie z częścią I ust. 8 kol 4 załącznika do ustawy z dnia 16 listopada 2006 r. o opłacie skarbowej </w:t>
      </w:r>
      <w:r w:rsidR="003B18DF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Dz.U. z 2022 r., poz. 2142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opłacie 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17,00 złotych (słownie: siedemnaście złotych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00/100)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art. 1 ust. 1 pkt 2 ustawy z dnia 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listopada 2006 r. o opłaci</w:t>
      </w:r>
      <w:r w:rsidR="003B18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skarbowej (t. 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2022 r., poz. 2142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</w:t>
      </w:r>
    </w:p>
    <w:p w:rsidR="00105B0F" w:rsidRPr="00DA7674" w:rsidRDefault="00105B0F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483" w:rsidRPr="00CD1483" w:rsidRDefault="00CD1483" w:rsidP="003B18DF">
      <w:pPr>
        <w:keepNext/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P O U C Z E N I E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nie jest pozwoleniem na budowę. Do budowy można przystąpić po uzyskaniu ostatecznej decyzji o pozwoleniu na budowę, o którą należy wystąpić do Starosty Choszczeńskiego.</w:t>
      </w:r>
    </w:p>
    <w:p w:rsidR="00CD1483" w:rsidRPr="00CD1483" w:rsidRDefault="00CD1483" w:rsidP="00105B0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pierwszej instancji stwierdzi wygaszenie niniejszej decyzji, w przypadku, gdy inny wnioskodawca uzyskał pozwolenie na budowę lub zostanie uchwalony miejscowy plan </w:t>
      </w: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zagospodarowania przestrzennego, zawierający ustalenia inne niż ustalenia decyzji, z wyjątkiem przypadku, gdy zostanie wydana ostateczna decyzja o pozwoleniu na budowę (art. 65 ustawy o planowaniu i zagospodarowaniu przestrzennym).</w:t>
      </w:r>
    </w:p>
    <w:p w:rsidR="00CD1483" w:rsidRPr="00CD1483" w:rsidRDefault="00CD1483" w:rsidP="00105B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odwołanie do Samorządowego Kolegium Odwoławczego w Szczecinie, które wnosi się za pośrednictwem Wójta Gminy Bierzwnik w terminie 14 dni od daty jej doręczenia.</w:t>
      </w:r>
    </w:p>
    <w:p w:rsidR="00CD1483" w:rsidRPr="00CD1483" w:rsidRDefault="00CD1483" w:rsidP="00105B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127a §1 i §2 ustawy z dnia 14 czerwca 1960 r. – Kodeks postępowania administracyjnego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CD1483" w:rsidRPr="00CD1483" w:rsidRDefault="00CD1483" w:rsidP="00105B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51 ust. 2e i art. 64 ust. 1 ustawy o planowaniu i zagospodarowaniu przestrzennym podmiotowi, który wystąpił z wnioskiem o wydanie decyzji o warunkach zabudowy, przysługuje prawo wniesienia żądania wymierzenia kary o której mowa w art. 51 ust. 2 i art. 64 ust. 1.</w:t>
      </w:r>
    </w:p>
    <w:p w:rsidR="00CD1483" w:rsidRPr="00CD1483" w:rsidRDefault="00CD1483" w:rsidP="00105B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18DF" w:rsidRDefault="003B18DF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18DF" w:rsidRDefault="003B18DF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44AC" w:rsidRDefault="00FE44AC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44AC" w:rsidRDefault="00FE44AC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44AC" w:rsidRDefault="00FE44AC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483" w:rsidRPr="003B18DF" w:rsidRDefault="00CD1483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CD1483" w:rsidRPr="003B18DF" w:rsidRDefault="00CD1483" w:rsidP="00105B0F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graficzny do decyzji,</w:t>
      </w:r>
    </w:p>
    <w:p w:rsidR="00CD1483" w:rsidRPr="003B18DF" w:rsidRDefault="00CD1483" w:rsidP="00105B0F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opisowa.</w:t>
      </w:r>
    </w:p>
    <w:p w:rsidR="00CD1483" w:rsidRPr="003B18DF" w:rsidRDefault="00CD1483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D1483" w:rsidRPr="003B18DF" w:rsidRDefault="00CD1483" w:rsidP="00105B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Otrzymują:</w:t>
      </w:r>
    </w:p>
    <w:p w:rsidR="00CD1483" w:rsidRPr="003B18DF" w:rsidRDefault="003B18DF" w:rsidP="00105B0F">
      <w:pPr>
        <w:numPr>
          <w:ilvl w:val="0"/>
          <w:numId w:val="13"/>
        </w:num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</w:t>
      </w:r>
    </w:p>
    <w:p w:rsidR="003B18DF" w:rsidRPr="003B18DF" w:rsidRDefault="003B18DF" w:rsidP="003B18DF">
      <w:p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sz w:val="20"/>
          <w:szCs w:val="20"/>
          <w:lang w:eastAsia="pl-PL"/>
        </w:rPr>
        <w:t>Solar SGE II Sp. z o.o.</w:t>
      </w:r>
    </w:p>
    <w:p w:rsidR="003B18DF" w:rsidRPr="003B18DF" w:rsidRDefault="003B18DF" w:rsidP="003B18DF">
      <w:p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sz w:val="20"/>
          <w:szCs w:val="20"/>
          <w:lang w:eastAsia="pl-PL"/>
        </w:rPr>
        <w:t>ul. Bolesława Śmiałego 15/8, 70-351 Szczecin</w:t>
      </w:r>
    </w:p>
    <w:p w:rsidR="00CD1483" w:rsidRPr="003B18DF" w:rsidRDefault="00CD1483" w:rsidP="00105B0F">
      <w:pPr>
        <w:numPr>
          <w:ilvl w:val="0"/>
          <w:numId w:val="13"/>
        </w:num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postępowania wg rozdzielnika w aktach sprawy,</w:t>
      </w:r>
    </w:p>
    <w:p w:rsidR="00CD1483" w:rsidRPr="003B18DF" w:rsidRDefault="003B18DF" w:rsidP="00105B0F">
      <w:pPr>
        <w:numPr>
          <w:ilvl w:val="0"/>
          <w:numId w:val="13"/>
        </w:num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D1483" w:rsidRPr="003B18DF">
        <w:rPr>
          <w:rFonts w:ascii="Times New Roman" w:eastAsia="Times New Roman" w:hAnsi="Times New Roman" w:cs="Times New Roman"/>
          <w:sz w:val="20"/>
          <w:szCs w:val="20"/>
          <w:lang w:eastAsia="pl-PL"/>
        </w:rPr>
        <w:t>a.</w:t>
      </w:r>
    </w:p>
    <w:p w:rsidR="003B18DF" w:rsidRPr="003B18DF" w:rsidRDefault="003B18DF" w:rsidP="003B18D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18DF" w:rsidRPr="003B18DF" w:rsidRDefault="003B18DF" w:rsidP="003B18D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18DF" w:rsidRPr="003B18DF" w:rsidRDefault="003B18DF" w:rsidP="003B18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decyzji sporządził inż. Jakub Szarzyński.</w:t>
      </w:r>
    </w:p>
    <w:p w:rsidR="003B18DF" w:rsidRPr="003B18DF" w:rsidRDefault="003B18DF" w:rsidP="003B18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18DF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na podst. art. 5 pkt 4, art. 50 ust. 4 oraz art. 60 ust. 4 ustawy o planowaniu i zagospodarowaniu przestrzennym.</w:t>
      </w:r>
    </w:p>
    <w:p w:rsidR="003B18DF" w:rsidRPr="003B18DF" w:rsidRDefault="003B18DF" w:rsidP="003B18D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AD1" w:rsidRPr="003B18DF" w:rsidRDefault="00854AD1" w:rsidP="00105B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AD1" w:rsidRPr="003B18DF" w:rsidSect="009728D3">
      <w:footerReference w:type="default" r:id="rId1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F86" w:rsidRDefault="000B2F86" w:rsidP="00A42E8E">
      <w:pPr>
        <w:spacing w:after="0" w:line="240" w:lineRule="auto"/>
      </w:pPr>
      <w:r>
        <w:separator/>
      </w:r>
    </w:p>
  </w:endnote>
  <w:endnote w:type="continuationSeparator" w:id="0">
    <w:p w:rsidR="000B2F86" w:rsidRDefault="000B2F86" w:rsidP="00A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default"/>
  </w:font>
  <w:font w:name="Charter ITC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817865"/>
      <w:docPartObj>
        <w:docPartGallery w:val="Page Numbers (Bottom of Page)"/>
        <w:docPartUnique/>
      </w:docPartObj>
    </w:sdtPr>
    <w:sdtEndPr/>
    <w:sdtContent>
      <w:p w:rsidR="00A42E8E" w:rsidRDefault="00A42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AC">
          <w:rPr>
            <w:noProof/>
          </w:rPr>
          <w:t>6</w:t>
        </w:r>
        <w:r>
          <w:fldChar w:fldCharType="end"/>
        </w:r>
      </w:p>
    </w:sdtContent>
  </w:sdt>
  <w:p w:rsidR="00A42E8E" w:rsidRDefault="00A42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F86" w:rsidRDefault="000B2F86" w:rsidP="00A42E8E">
      <w:pPr>
        <w:spacing w:after="0" w:line="240" w:lineRule="auto"/>
      </w:pPr>
      <w:r>
        <w:separator/>
      </w:r>
    </w:p>
  </w:footnote>
  <w:footnote w:type="continuationSeparator" w:id="0">
    <w:p w:rsidR="000B2F86" w:rsidRDefault="000B2F86" w:rsidP="00A4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6EF4EB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9B466546"/>
    <w:name w:val="WW8Num4"/>
    <w:lvl w:ilvl="0">
      <w:start w:val="1"/>
      <w:numFmt w:val="decimal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00000005"/>
    <w:multiLevelType w:val="multilevel"/>
    <w:tmpl w:val="5E0C74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638212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multilevel"/>
    <w:tmpl w:val="EFAACF46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00000008"/>
    <w:multiLevelType w:val="multilevel"/>
    <w:tmpl w:val="EA7EA4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3" w15:restartNumberingAfterBreak="0">
    <w:nsid w:val="0000000E"/>
    <w:multiLevelType w:val="multilevel"/>
    <w:tmpl w:val="DA3831E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91648F3"/>
    <w:multiLevelType w:val="multilevel"/>
    <w:tmpl w:val="A05C7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45EE7"/>
    <w:multiLevelType w:val="multilevel"/>
    <w:tmpl w:val="0AC69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8B737B"/>
    <w:multiLevelType w:val="multilevel"/>
    <w:tmpl w:val="6CA42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438639B"/>
    <w:multiLevelType w:val="hybridMultilevel"/>
    <w:tmpl w:val="E10C23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176D5A4F"/>
    <w:multiLevelType w:val="hybridMultilevel"/>
    <w:tmpl w:val="C16CD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47004"/>
    <w:multiLevelType w:val="multilevel"/>
    <w:tmpl w:val="43C8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A838F8"/>
    <w:multiLevelType w:val="hybridMultilevel"/>
    <w:tmpl w:val="9258DD0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8C0EB9"/>
    <w:multiLevelType w:val="hybridMultilevel"/>
    <w:tmpl w:val="FB3E4760"/>
    <w:lvl w:ilvl="0" w:tplc="F886D0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3421DB1"/>
    <w:multiLevelType w:val="hybridMultilevel"/>
    <w:tmpl w:val="B1C0A424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 w15:restartNumberingAfterBreak="0">
    <w:nsid w:val="34AF5F4D"/>
    <w:multiLevelType w:val="hybridMultilevel"/>
    <w:tmpl w:val="D25E0786"/>
    <w:lvl w:ilvl="0" w:tplc="F886D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5B77EEF"/>
    <w:multiLevelType w:val="hybridMultilevel"/>
    <w:tmpl w:val="DF2E6C66"/>
    <w:lvl w:ilvl="0" w:tplc="4072A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676107"/>
    <w:multiLevelType w:val="multilevel"/>
    <w:tmpl w:val="0632F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13F30"/>
    <w:multiLevelType w:val="multilevel"/>
    <w:tmpl w:val="C01A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650833"/>
    <w:multiLevelType w:val="multilevel"/>
    <w:tmpl w:val="B76A0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C8056F2"/>
    <w:multiLevelType w:val="multilevel"/>
    <w:tmpl w:val="86948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5220E1"/>
    <w:multiLevelType w:val="hybridMultilevel"/>
    <w:tmpl w:val="FFEA53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933F09"/>
    <w:multiLevelType w:val="hybridMultilevel"/>
    <w:tmpl w:val="BDB44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4142">
    <w:abstractNumId w:val="3"/>
    <w:lvlOverride w:ilvl="0">
      <w:startOverride w:val="1"/>
    </w:lvlOverride>
  </w:num>
  <w:num w:numId="2" w16cid:durableId="1486899231">
    <w:abstractNumId w:val="14"/>
  </w:num>
  <w:num w:numId="3" w16cid:durableId="1913345759">
    <w:abstractNumId w:val="28"/>
  </w:num>
  <w:num w:numId="4" w16cid:durableId="68505220">
    <w:abstractNumId w:val="23"/>
  </w:num>
  <w:num w:numId="5" w16cid:durableId="516234243">
    <w:abstractNumId w:val="26"/>
  </w:num>
  <w:num w:numId="6" w16cid:durableId="1099519951">
    <w:abstractNumId w:val="15"/>
  </w:num>
  <w:num w:numId="7" w16cid:durableId="949163298">
    <w:abstractNumId w:val="16"/>
  </w:num>
  <w:num w:numId="8" w16cid:durableId="2143231853">
    <w:abstractNumId w:val="25"/>
  </w:num>
  <w:num w:numId="9" w16cid:durableId="328097347">
    <w:abstractNumId w:val="19"/>
  </w:num>
  <w:num w:numId="10" w16cid:durableId="1506245937">
    <w:abstractNumId w:val="21"/>
  </w:num>
  <w:num w:numId="11" w16cid:durableId="1003629276">
    <w:abstractNumId w:val="22"/>
  </w:num>
  <w:num w:numId="12" w16cid:durableId="1317760902">
    <w:abstractNumId w:val="24"/>
  </w:num>
  <w:num w:numId="13" w16cid:durableId="1016229704">
    <w:abstractNumId w:val="20"/>
  </w:num>
  <w:num w:numId="14" w16cid:durableId="572392575">
    <w:abstractNumId w:val="29"/>
  </w:num>
  <w:num w:numId="15" w16cid:durableId="2054575546">
    <w:abstractNumId w:val="24"/>
  </w:num>
  <w:num w:numId="16" w16cid:durableId="515996902">
    <w:abstractNumId w:val="21"/>
  </w:num>
  <w:num w:numId="17" w16cid:durableId="780303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3148396">
    <w:abstractNumId w:val="24"/>
  </w:num>
  <w:num w:numId="19" w16cid:durableId="987199952">
    <w:abstractNumId w:val="0"/>
  </w:num>
  <w:num w:numId="20" w16cid:durableId="1767729903">
    <w:abstractNumId w:val="1"/>
  </w:num>
  <w:num w:numId="21" w16cid:durableId="644508327">
    <w:abstractNumId w:val="2"/>
  </w:num>
  <w:num w:numId="22" w16cid:durableId="1967005829">
    <w:abstractNumId w:val="3"/>
  </w:num>
  <w:num w:numId="23" w16cid:durableId="731077201">
    <w:abstractNumId w:val="4"/>
  </w:num>
  <w:num w:numId="24" w16cid:durableId="736243214">
    <w:abstractNumId w:val="5"/>
  </w:num>
  <w:num w:numId="25" w16cid:durableId="1789735654">
    <w:abstractNumId w:val="6"/>
  </w:num>
  <w:num w:numId="26" w16cid:durableId="1733965067">
    <w:abstractNumId w:val="7"/>
  </w:num>
  <w:num w:numId="27" w16cid:durableId="1782144277">
    <w:abstractNumId w:val="8"/>
  </w:num>
  <w:num w:numId="28" w16cid:durableId="1550219327">
    <w:abstractNumId w:val="9"/>
  </w:num>
  <w:num w:numId="29" w16cid:durableId="879242042">
    <w:abstractNumId w:val="10"/>
  </w:num>
  <w:num w:numId="30" w16cid:durableId="1287153145">
    <w:abstractNumId w:val="12"/>
  </w:num>
  <w:num w:numId="31" w16cid:durableId="111828649">
    <w:abstractNumId w:val="13"/>
  </w:num>
  <w:num w:numId="32" w16cid:durableId="1325402936">
    <w:abstractNumId w:val="18"/>
  </w:num>
  <w:num w:numId="33" w16cid:durableId="89472471">
    <w:abstractNumId w:val="27"/>
  </w:num>
  <w:num w:numId="34" w16cid:durableId="647242995">
    <w:abstractNumId w:val="17"/>
  </w:num>
  <w:num w:numId="35" w16cid:durableId="116663410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B"/>
    <w:rsid w:val="000078B0"/>
    <w:rsid w:val="00016D2E"/>
    <w:rsid w:val="00037CD3"/>
    <w:rsid w:val="000708DC"/>
    <w:rsid w:val="000A2338"/>
    <w:rsid w:val="000A301F"/>
    <w:rsid w:val="000A5A52"/>
    <w:rsid w:val="000B0883"/>
    <w:rsid w:val="000B2F86"/>
    <w:rsid w:val="000C76AA"/>
    <w:rsid w:val="000D0D0A"/>
    <w:rsid w:val="000E2E16"/>
    <w:rsid w:val="000E4BA7"/>
    <w:rsid w:val="000F42C6"/>
    <w:rsid w:val="00105B0F"/>
    <w:rsid w:val="001132F2"/>
    <w:rsid w:val="0013072F"/>
    <w:rsid w:val="00154F1B"/>
    <w:rsid w:val="00170E68"/>
    <w:rsid w:val="001821F2"/>
    <w:rsid w:val="001B7D80"/>
    <w:rsid w:val="001D1B85"/>
    <w:rsid w:val="001F5F98"/>
    <w:rsid w:val="001F66A8"/>
    <w:rsid w:val="00206AD1"/>
    <w:rsid w:val="00221D5D"/>
    <w:rsid w:val="00242F05"/>
    <w:rsid w:val="00264D94"/>
    <w:rsid w:val="0029365E"/>
    <w:rsid w:val="00293B93"/>
    <w:rsid w:val="002951C7"/>
    <w:rsid w:val="00297881"/>
    <w:rsid w:val="002A67A5"/>
    <w:rsid w:val="002B0B59"/>
    <w:rsid w:val="002B35F4"/>
    <w:rsid w:val="002C49DF"/>
    <w:rsid w:val="002D1A68"/>
    <w:rsid w:val="002E568A"/>
    <w:rsid w:val="00334D48"/>
    <w:rsid w:val="003513A6"/>
    <w:rsid w:val="00356D0F"/>
    <w:rsid w:val="00370A91"/>
    <w:rsid w:val="0038019B"/>
    <w:rsid w:val="00380F9E"/>
    <w:rsid w:val="00383BB2"/>
    <w:rsid w:val="0038688F"/>
    <w:rsid w:val="003A29AE"/>
    <w:rsid w:val="003B18DF"/>
    <w:rsid w:val="003F0DB7"/>
    <w:rsid w:val="004978D4"/>
    <w:rsid w:val="004B278F"/>
    <w:rsid w:val="004B648B"/>
    <w:rsid w:val="004C718E"/>
    <w:rsid w:val="005C48CC"/>
    <w:rsid w:val="005D0F76"/>
    <w:rsid w:val="005F6949"/>
    <w:rsid w:val="00623D56"/>
    <w:rsid w:val="00654014"/>
    <w:rsid w:val="00654DCF"/>
    <w:rsid w:val="006713F5"/>
    <w:rsid w:val="00692AF4"/>
    <w:rsid w:val="006C5991"/>
    <w:rsid w:val="006C71F0"/>
    <w:rsid w:val="006E5386"/>
    <w:rsid w:val="00714644"/>
    <w:rsid w:val="0073202F"/>
    <w:rsid w:val="0077037F"/>
    <w:rsid w:val="00770965"/>
    <w:rsid w:val="007C56DE"/>
    <w:rsid w:val="007D0B64"/>
    <w:rsid w:val="007E0E54"/>
    <w:rsid w:val="007E2BE1"/>
    <w:rsid w:val="007F2340"/>
    <w:rsid w:val="008036E1"/>
    <w:rsid w:val="00811DB1"/>
    <w:rsid w:val="00825280"/>
    <w:rsid w:val="00826BEB"/>
    <w:rsid w:val="008414EC"/>
    <w:rsid w:val="0085180D"/>
    <w:rsid w:val="00854AD1"/>
    <w:rsid w:val="00861CA3"/>
    <w:rsid w:val="00873AAC"/>
    <w:rsid w:val="0089470B"/>
    <w:rsid w:val="008B0027"/>
    <w:rsid w:val="008D019E"/>
    <w:rsid w:val="008F0D6E"/>
    <w:rsid w:val="008F5A60"/>
    <w:rsid w:val="008F68C7"/>
    <w:rsid w:val="009315FB"/>
    <w:rsid w:val="009710D5"/>
    <w:rsid w:val="009728D3"/>
    <w:rsid w:val="009731C9"/>
    <w:rsid w:val="0099374B"/>
    <w:rsid w:val="00997DB6"/>
    <w:rsid w:val="009A3AEB"/>
    <w:rsid w:val="009A5D1E"/>
    <w:rsid w:val="009C17FF"/>
    <w:rsid w:val="009E21F8"/>
    <w:rsid w:val="009F430F"/>
    <w:rsid w:val="009F73BC"/>
    <w:rsid w:val="00A27838"/>
    <w:rsid w:val="00A42E8E"/>
    <w:rsid w:val="00A56D64"/>
    <w:rsid w:val="00A9376E"/>
    <w:rsid w:val="00AA46B8"/>
    <w:rsid w:val="00AB6BBA"/>
    <w:rsid w:val="00AC3547"/>
    <w:rsid w:val="00AC7815"/>
    <w:rsid w:val="00AD385B"/>
    <w:rsid w:val="00AF0897"/>
    <w:rsid w:val="00B00E72"/>
    <w:rsid w:val="00B168D3"/>
    <w:rsid w:val="00B36C78"/>
    <w:rsid w:val="00B65931"/>
    <w:rsid w:val="00B80A07"/>
    <w:rsid w:val="00BA4948"/>
    <w:rsid w:val="00BB49DD"/>
    <w:rsid w:val="00BB5A54"/>
    <w:rsid w:val="00BC1C2A"/>
    <w:rsid w:val="00BD314E"/>
    <w:rsid w:val="00BD541C"/>
    <w:rsid w:val="00BE26B4"/>
    <w:rsid w:val="00BF40BB"/>
    <w:rsid w:val="00BF462B"/>
    <w:rsid w:val="00C2448A"/>
    <w:rsid w:val="00C92423"/>
    <w:rsid w:val="00C93666"/>
    <w:rsid w:val="00CC7A39"/>
    <w:rsid w:val="00CD1483"/>
    <w:rsid w:val="00CD7DFB"/>
    <w:rsid w:val="00CF6050"/>
    <w:rsid w:val="00D1029E"/>
    <w:rsid w:val="00D2690E"/>
    <w:rsid w:val="00D27205"/>
    <w:rsid w:val="00D5295A"/>
    <w:rsid w:val="00D74188"/>
    <w:rsid w:val="00DB1AA8"/>
    <w:rsid w:val="00DB364C"/>
    <w:rsid w:val="00DB59C0"/>
    <w:rsid w:val="00E01F30"/>
    <w:rsid w:val="00E04255"/>
    <w:rsid w:val="00E132F2"/>
    <w:rsid w:val="00E233EF"/>
    <w:rsid w:val="00E247B9"/>
    <w:rsid w:val="00E33849"/>
    <w:rsid w:val="00E41C6E"/>
    <w:rsid w:val="00E6046B"/>
    <w:rsid w:val="00E8682A"/>
    <w:rsid w:val="00E9158C"/>
    <w:rsid w:val="00E95A3F"/>
    <w:rsid w:val="00EB03D5"/>
    <w:rsid w:val="00EB3B1B"/>
    <w:rsid w:val="00EB799A"/>
    <w:rsid w:val="00EC376B"/>
    <w:rsid w:val="00EC7C6F"/>
    <w:rsid w:val="00ED6CC4"/>
    <w:rsid w:val="00ED76C6"/>
    <w:rsid w:val="00EE73FC"/>
    <w:rsid w:val="00EF0246"/>
    <w:rsid w:val="00EF3A3C"/>
    <w:rsid w:val="00EF54E0"/>
    <w:rsid w:val="00F02119"/>
    <w:rsid w:val="00F04158"/>
    <w:rsid w:val="00F12F53"/>
    <w:rsid w:val="00F20ABF"/>
    <w:rsid w:val="00F25398"/>
    <w:rsid w:val="00F4373C"/>
    <w:rsid w:val="00F45746"/>
    <w:rsid w:val="00F56201"/>
    <w:rsid w:val="00F7251E"/>
    <w:rsid w:val="00F954F2"/>
    <w:rsid w:val="00FA74AB"/>
    <w:rsid w:val="00FB2903"/>
    <w:rsid w:val="00FC1405"/>
    <w:rsid w:val="00FC5620"/>
    <w:rsid w:val="00FE44AC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415861-B571-432D-AE80-12B1165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132F2"/>
    <w:pPr>
      <w:keepNext/>
      <w:numPr>
        <w:ilvl w:val="1"/>
        <w:numId w:val="1"/>
      </w:numPr>
      <w:tabs>
        <w:tab w:val="left" w:pos="0"/>
      </w:tabs>
      <w:suppressAutoHyphens/>
      <w:autoSpaceDE w:val="0"/>
      <w:spacing w:after="0" w:line="240" w:lineRule="auto"/>
      <w:jc w:val="center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2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7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2F2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2F2"/>
    <w:rPr>
      <w:rFonts w:ascii="Garamond" w:eastAsia="Times New Roman" w:hAnsi="Garamond" w:cs="Tahoma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Naglwek1">
    <w:name w:val="Naglówek 1"/>
    <w:basedOn w:val="Normalny"/>
    <w:next w:val="Normalny"/>
    <w:rsid w:val="001132F2"/>
    <w:pPr>
      <w:keepNext/>
      <w:suppressAutoHyphens/>
      <w:autoSpaceDE w:val="0"/>
      <w:spacing w:after="0" w:line="240" w:lineRule="auto"/>
      <w:jc w:val="center"/>
    </w:pPr>
    <w:rPr>
      <w:rFonts w:ascii="Garamond" w:eastAsia="Times New Roman" w:hAnsi="Garamond" w:cs="Tahoma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32F2"/>
    <w:pPr>
      <w:suppressAutoHyphens/>
      <w:autoSpaceDE w:val="0"/>
      <w:spacing w:after="0" w:line="240" w:lineRule="auto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132F2"/>
    <w:pPr>
      <w:suppressAutoHyphens/>
      <w:autoSpaceDE w:val="0"/>
      <w:spacing w:after="0" w:line="240" w:lineRule="auto"/>
      <w:ind w:left="-142"/>
      <w:jc w:val="both"/>
    </w:pPr>
    <w:rPr>
      <w:rFonts w:ascii="Garamond" w:eastAsia="Times New Roman" w:hAnsi="Garamond" w:cs="Tahoma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132F2"/>
    <w:pPr>
      <w:spacing w:before="280" w:after="119" w:line="240" w:lineRule="auto"/>
    </w:pPr>
    <w:rPr>
      <w:rFonts w:ascii="Thorndale" w:eastAsia="Times New Roman" w:hAnsi="Thorndale" w:cs="Tahoma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32F2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1132F2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0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0A91"/>
  </w:style>
  <w:style w:type="paragraph" w:styleId="Tekstdymka">
    <w:name w:val="Balloon Text"/>
    <w:basedOn w:val="Normalny"/>
    <w:link w:val="TekstdymkaZnak"/>
    <w:uiPriority w:val="99"/>
    <w:semiHidden/>
    <w:unhideWhenUsed/>
    <w:rsid w:val="009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FB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AC35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8E"/>
  </w:style>
  <w:style w:type="paragraph" w:styleId="Stopka">
    <w:name w:val="footer"/>
    <w:basedOn w:val="Normalny"/>
    <w:link w:val="Stopka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8E"/>
  </w:style>
  <w:style w:type="character" w:customStyle="1" w:styleId="Nagwek1Znak">
    <w:name w:val="Nagłówek 1 Znak"/>
    <w:basedOn w:val="Domylnaczcionkaakapitu"/>
    <w:link w:val="Nagwek1"/>
    <w:uiPriority w:val="9"/>
    <w:rsid w:val="004B2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2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F437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F437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EF54E0"/>
    <w:pPr>
      <w:widowControl w:val="0"/>
      <w:autoSpaceDE w:val="0"/>
      <w:autoSpaceDN w:val="0"/>
      <w:adjustRightInd w:val="0"/>
      <w:spacing w:after="0" w:line="288" w:lineRule="auto"/>
      <w:ind w:left="170" w:right="170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ydata">
    <w:name w:val="Wzory data"/>
    <w:basedOn w:val="Wzorytekst"/>
    <w:uiPriority w:val="99"/>
    <w:rsid w:val="00EF54E0"/>
    <w:pPr>
      <w:spacing w:after="454"/>
      <w:jc w:val="right"/>
    </w:pPr>
  </w:style>
  <w:style w:type="paragraph" w:customStyle="1" w:styleId="Wzorynaglowek1">
    <w:name w:val="Wzory naglowek 1"/>
    <w:basedOn w:val="Normalny"/>
    <w:uiPriority w:val="99"/>
    <w:rsid w:val="00EF54E0"/>
    <w:pPr>
      <w:keepNext/>
      <w:keepLines/>
      <w:widowControl w:val="0"/>
      <w:suppressAutoHyphens/>
      <w:autoSpaceDE w:val="0"/>
      <w:autoSpaceDN w:val="0"/>
      <w:adjustRightInd w:val="0"/>
      <w:spacing w:before="397" w:after="170" w:line="288" w:lineRule="auto"/>
      <w:ind w:left="170" w:right="170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4"/>
      <w:szCs w:val="24"/>
      <w:lang w:eastAsia="pl-PL"/>
    </w:rPr>
  </w:style>
  <w:style w:type="paragraph" w:customStyle="1" w:styleId="Wzorypodpisysrodek">
    <w:name w:val="Wzory podpisy srodek"/>
    <w:basedOn w:val="Normalny"/>
    <w:uiPriority w:val="99"/>
    <w:rsid w:val="00EF54E0"/>
    <w:pPr>
      <w:keepLines/>
      <w:widowControl w:val="0"/>
      <w:autoSpaceDE w:val="0"/>
      <w:autoSpaceDN w:val="0"/>
      <w:adjustRightInd w:val="0"/>
      <w:spacing w:before="57" w:after="57" w:line="288" w:lineRule="auto"/>
      <w:ind w:left="3969" w:right="283"/>
      <w:jc w:val="center"/>
      <w:textAlignment w:val="center"/>
    </w:pPr>
    <w:rPr>
      <w:rFonts w:ascii="Charter ITC Pro" w:eastAsia="Times New Roman" w:hAnsi="Charter ITC Pro" w:cs="Charter ITC Pro"/>
      <w:color w:val="000000"/>
      <w:sz w:val="14"/>
      <w:szCs w:val="14"/>
      <w:lang w:eastAsia="pl-PL"/>
    </w:rPr>
  </w:style>
  <w:style w:type="character" w:customStyle="1" w:styleId="Bold">
    <w:name w:val="Bold"/>
    <w:uiPriority w:val="99"/>
    <w:rsid w:val="00EF5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D613-B92A-4D98-906C-677C8DDF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2266</Words>
  <Characters>13600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 Gminy</cp:lastModifiedBy>
  <cp:revision>2</cp:revision>
  <cp:lastPrinted>2020-12-22T10:44:00Z</cp:lastPrinted>
  <dcterms:created xsi:type="dcterms:W3CDTF">2022-12-23T09:39:00Z</dcterms:created>
  <dcterms:modified xsi:type="dcterms:W3CDTF">2022-12-23T09:39:00Z</dcterms:modified>
</cp:coreProperties>
</file>