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3" w:rsidRPr="003A29AE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9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771377" wp14:editId="2D32629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 2,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 95-768-01-30; 664011220; fax. 95-768-01-11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10" w:history="1">
        <w:r w:rsidRPr="003A29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:rsidR="00370A91" w:rsidRPr="003A29AE" w:rsidRDefault="00370A91" w:rsidP="00370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70A91" w:rsidRPr="00AB6BBA" w:rsidRDefault="00160699" w:rsidP="00370A9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pict>
          <v:rect id="_x0000_i1025" style="width:0;height:1.5pt" o:hralign="center" o:hrstd="t" o:hr="t" fillcolor="gray" stroked="f"/>
        </w:pict>
      </w: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ED6CC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IS.II.6730.</w:t>
      </w:r>
      <w:r w:rsidR="00901EDE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25</w:t>
      </w:r>
      <w:r w:rsidR="00E233EF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2022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63370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26</w:t>
      </w:r>
      <w:r w:rsid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ED6CC4" w:rsidRPr="00ED6CC4" w:rsidRDefault="00ED6CC4" w:rsidP="00ED6CC4">
      <w:pPr>
        <w:suppressAutoHyphens/>
        <w:spacing w:after="0"/>
        <w:rPr>
          <w:rFonts w:ascii="Times New Roman" w:eastAsia="Times New Roman" w:hAnsi="Times New Roman" w:cs="Arial Unicode MS"/>
          <w:sz w:val="16"/>
          <w:szCs w:val="24"/>
          <w:lang w:eastAsia="pl-PL"/>
        </w:rPr>
      </w:pP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901EDE" w:rsidRPr="00901EDE" w:rsidRDefault="00901EDE" w:rsidP="00901EDE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901EDE" w:rsidRPr="00901EDE" w:rsidRDefault="00901EDE" w:rsidP="00A06622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DECYZJ</w:t>
      </w:r>
      <w:r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A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 ustaleniu warunków zabudowy</w:t>
      </w:r>
    </w:p>
    <w:p w:rsidR="00901EDE" w:rsidRPr="00901EDE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59 ust. 1, w związku z art. 4 ust. 2 pkt 2, art. 60 ust. 1 oraz art. 61 ust. 1 ustawy z dnia 27 marca 2003 r. o planowaniu i zagospodarowaniu przestrzennym (</w:t>
      </w:r>
      <w:r w:rsidR="00F2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 poz. 503</w:t>
      </w:r>
      <w:r w:rsidR="00F2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rozporządzeniem Ministra Infrastruktury z dnia 26 sierpnia 2003 r. w sprawie sposobu ustalania wymagań dotyczących nowej zabudowy i zagospodarowania terenu w przypadku braku miejscowego planu zagospodarowania przestrzennego (Dz. U. z 2003 r. Nr 164, poz. 1588 z późn. zm.), oraz z rozporządzeniem Ministra Infrastruktury z dnia 26 sierpnia 2003 r. w sprawie oznaczeń i nazewnictwa stosowanych w decyzji o ustaleniu lokalizacji inwestycji celu publicznego oraz w decyzji o warunkach zabudowy (Dz. U. z 2003 r. Nr 164, poz. 1589) w trybie art. 104 ustawy z dnia 14 czerwca 1960 r. – Kodeks postępowania administracyjnego (</w:t>
      </w:r>
      <w:r w:rsidR="0030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735 z późn. zm.), po rozpatrzeniu wniosku z dnia 28.03.2022 r., który złożyła firma: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PCWO Energy Projekt Sp. z o.o.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Emilii Plater 53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00-113 Warszawa</w:t>
      </w:r>
    </w:p>
    <w:p w:rsidR="00901EDE" w:rsidRPr="00901EDE" w:rsidRDefault="00901EDE" w:rsidP="00A06622">
      <w:pPr>
        <w:suppressAutoHyphens/>
        <w:spacing w:after="0" w:line="360" w:lineRule="auto"/>
        <w:contextualSpacing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t a l a m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zabudowy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1434993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działki oznaczonej nr ewid. </w:t>
      </w:r>
      <w:bookmarkStart w:id="1" w:name="_Hlk91521527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471/5, 471/6, 471/11</w:t>
      </w:r>
      <w:bookmarkEnd w:id="0"/>
      <w:bookmarkEnd w:id="1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załączniku graficznym niniejszej decyzji jako teren inwestycyjny,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w obrębie geodezyjnym </w:t>
      </w:r>
      <w:bookmarkStart w:id="2" w:name="_Hlk101434998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Breń</w:t>
      </w:r>
      <w:bookmarkEnd w:id="2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Bierzwnik,</w:t>
      </w: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inwestycji polegającej na:</w:t>
      </w:r>
    </w:p>
    <w:p w:rsidR="00901EDE" w:rsidRPr="00901EDE" w:rsidRDefault="00901EDE" w:rsidP="00A06622">
      <w:pPr>
        <w:suppressAutoHyphens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4600805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 farmy fotowoltaicznej o mocy do 13 MW</w:t>
      </w:r>
      <w:bookmarkEnd w:id="3"/>
    </w:p>
    <w:p w:rsidR="00901EDE" w:rsidRPr="00901EDE" w:rsidRDefault="00901EDE" w:rsidP="00A06622">
      <w:pPr>
        <w:suppressAutoHyphens/>
        <w:spacing w:after="0" w:line="36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Rodzaj inwestycji: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odnawialnego źródła energii.</w:t>
      </w:r>
    </w:p>
    <w:p w:rsidR="00901EDE" w:rsidRPr="00901EDE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analizę funkcji oraz cech zabudowy i zagospodarowania terenu, której wynik stanowi załącznik do niniejszej decyzji, przeprowadzoną na podstawie art. 53 ust. 3 oraz w związku z art. 61 ust 5a ustawy z dnia 27 marca 2003 r. o planowaniu i zagospodarowaniu przestrzennym dla planowanej inwestycji, ustalam następujące warunki i szczegółowe zasady zagospodarowania terenu oraz jego zabudowy, w zakresie:</w:t>
      </w:r>
    </w:p>
    <w:p w:rsidR="00901EDE" w:rsidRPr="00901EDE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warunków i wymagań ochrony i kształtowania ładu przestrzennego:</w:t>
      </w:r>
    </w:p>
    <w:p w:rsidR="00901EDE" w:rsidRPr="00901EDE" w:rsidRDefault="00901EDE" w:rsidP="00A06622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nieprzekraczalna linia zabudowy w odległości:</w:t>
      </w:r>
    </w:p>
    <w:p w:rsidR="00901EDE" w:rsidRPr="00901EDE" w:rsidRDefault="00901EDE" w:rsidP="00A06622">
      <w:pPr>
        <w:numPr>
          <w:ilvl w:val="3"/>
          <w:numId w:val="5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15 m od granicy z działką oznaczoną nr ewid. 571,</w:t>
      </w:r>
    </w:p>
    <w:p w:rsidR="00901EDE" w:rsidRPr="00901EDE" w:rsidRDefault="00901EDE" w:rsidP="00A06622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zgodnie z załącznikiem graficznym do decyzji (przez nieprzekraczalną linię zabudowy należy rozumieć linię wyznaczającą maksymalne dopuszczalne przybliżenie ściany frontowej projektowanego budynku /obiektu budowlanego/, bez prawa jej przekraczania, za wyjątkiem balkonów, wykuszy, gzymsów, okapów dachów, schodów zewnętrznych itp.),</w:t>
      </w:r>
    </w:p>
    <w:p w:rsidR="00901EDE" w:rsidRPr="00901EDE" w:rsidRDefault="00901EDE" w:rsidP="00A06622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powierzchnia zabudowy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do </w:t>
      </w:r>
      <w:bookmarkStart w:id="4" w:name="_Hlk84600866"/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45500m</w:t>
      </w:r>
      <w:r w:rsidRPr="00901EDE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pl-PL"/>
        </w:rPr>
        <w:t>2</w:t>
      </w:r>
      <w:bookmarkEnd w:id="4"/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, udział powierzchni biologicznie czynnej w powierzchni działki nie mniej niż 30%,</w:t>
      </w:r>
    </w:p>
    <w:p w:rsidR="00901EDE" w:rsidRPr="00901EDE" w:rsidRDefault="00901EDE" w:rsidP="00A06622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szerokość elewacji frontowej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transformatorowej: do 6 m,</w:t>
      </w:r>
    </w:p>
    <w:p w:rsidR="00901EDE" w:rsidRPr="00901EDE" w:rsidRDefault="00901EDE" w:rsidP="00A06622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maksymalna wysokość górnej krawędzi elewacji frontowej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transformatorowej, jej gzymsu, attyki lub okapu głównego dachu, liczona od średniego poziomu terenu przed głównym wejściem do budynku: 4 m,</w:t>
      </w:r>
    </w:p>
    <w:p w:rsidR="00901EDE" w:rsidRPr="00901EDE" w:rsidRDefault="00901EDE" w:rsidP="00A06622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geometria dachu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</w:t>
      </w: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:</w:t>
      </w:r>
    </w:p>
    <w:p w:rsidR="00901EDE" w:rsidRPr="00901EDE" w:rsidRDefault="00901EDE" w:rsidP="00A06622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kąt nachylenia: do 18º,</w:t>
      </w:r>
    </w:p>
    <w:p w:rsidR="00901EDE" w:rsidRPr="00901EDE" w:rsidRDefault="00901EDE" w:rsidP="00A06622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maksymalna wysokość głównej kalenicy: 4 m,</w:t>
      </w:r>
    </w:p>
    <w:p w:rsidR="00901EDE" w:rsidRPr="00901EDE" w:rsidRDefault="00901EDE" w:rsidP="00A06622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układ połaci dachowych: dach stromy płaski,</w:t>
      </w:r>
    </w:p>
    <w:p w:rsidR="00901EDE" w:rsidRPr="00901EDE" w:rsidRDefault="00901EDE" w:rsidP="00A06622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kierunek głównej kalenicy dachu w stosunku do frontu działki: dowolnie;</w:t>
      </w:r>
    </w:p>
    <w:p w:rsidR="00901EDE" w:rsidRPr="00901EDE" w:rsidRDefault="00901EDE" w:rsidP="00A06622">
      <w:pPr>
        <w:suppressAutoHyphens/>
        <w:spacing w:after="0" w:line="360" w:lineRule="auto"/>
        <w:ind w:left="1701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ochrony środowiska i zdrowia ludzi oraz dziedzictwa kulturowego i zabytków oraz dóbr kultury współczesnej: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jest wymieniona w rozporządzeniu Rady Ministrów z dnia 10 września 2019 r. w sprawie przedsięwzięć mogących znacząco oddziaływać na środowisko (Dz. U. z 2019 r. poz. 1839),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inwestycja zlokalizowana jest na terenie </w:t>
      </w:r>
      <w:r w:rsidRPr="00901EDE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Natura 2000 Lasy Puszczy nad Drawą,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 </w:t>
      </w:r>
      <w:r w:rsidRPr="00901EDE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, 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inwestycja na etapie przygotowania i realizacji winna być prowadzona z zachowaniem przepisów ustawy z dnia 27 kwietnia 2001 r. Prawo ochrony środowiska (</w:t>
      </w:r>
      <w:r w:rsidR="003000AA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1973 z późn. zm.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powinna być zaprojektowana i wykonana zgodnie z ustaleniami zawartymi w decyzji o środowiskowych uwarunkowaniach zgody na realizację przedsięwzięcia nr 6/2021, znak: IS.IV.6220.6.7.2021 z dnia 14.02.2022 r.,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uciążliwości związane z funkcjonowaniem projektowanej inwestycji w tym hałas i wibracje, powinny ograniczać się do granic terenu objętego decyzją,</w:t>
      </w:r>
    </w:p>
    <w:p w:rsidR="00901EDE" w:rsidRPr="00901EDE" w:rsidRDefault="00901EDE" w:rsidP="00A06622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w razie odkrycia przedmiotu, co do którego istnieje przypuszczenie, iż jest on zabytkiem należy wstrzymać wszelkie roboty mogące uszkodzić lub zniszczyć odkryty przedmiot, zabezpieczyć miejsce odkrycia, a także zgłosić napotkane obiekty archeologiczne do Wojewódzkiego Konserwatora Zabytków, a jeśli nie jest to możliwe do Wójta Gminy Bierzwnik,</w:t>
      </w:r>
    </w:p>
    <w:p w:rsidR="00901EDE" w:rsidRPr="00901EDE" w:rsidRDefault="00901EDE" w:rsidP="00A06622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obsługi w zakresie infrastruktury technicznej i komunikacji: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wodę: nie dotyczy,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elektryczną: na warunkach gestora sieci,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cieplną: nie dotyczy,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ścieków: nie dotyczy,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wód opadowych lub roztopowych: na własny teren nieutwardzony, zabrania się dokonywania zmiany naturalnego spływu wód opadowych i roztopowych w celu kierowania ich na teren sąsiednich nieruchomości,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gospodarowania odpadami: zgodnie z przepisami odrębnymi,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dostęp do drogi publicznej: zjazd z drogi, stanowiącej działkę oznaczoną nr ewid. 571; każdy nowo projektowany zjazd z drogi należy uzgodnić z jej zarządcą,</w:t>
      </w:r>
    </w:p>
    <w:p w:rsidR="00901EDE" w:rsidRPr="00901EDE" w:rsidRDefault="00901EDE" w:rsidP="00A06622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wymagana ilość miejsc postojowych: zapewnić w granicach działki minimum 1 miejsce postojowe dla samochodów osobowych – przy czym, do wymaganej liczby miejsc postojowych można wliczać ilość stanowisk postojowych w garażu;</w:t>
      </w:r>
    </w:p>
    <w:p w:rsidR="00901EDE" w:rsidRPr="00901EDE" w:rsidRDefault="00901EDE" w:rsidP="00A06622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wymagań dotyczących ochrony interesów osób trzecich:</w:t>
      </w:r>
    </w:p>
    <w:p w:rsidR="00901EDE" w:rsidRPr="00901EDE" w:rsidRDefault="00901EDE" w:rsidP="00A06622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zobowiązany jest do przestrzegania przy projektowaniu i wykonywaniu planowanej inwestycji zapisów ustawy Prawo wodne (</w:t>
      </w:r>
      <w:r w:rsidR="003000AA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2233 z późn. zm.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901EDE" w:rsidRPr="00901EDE" w:rsidRDefault="00901EDE" w:rsidP="00A06622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projektowane obiekty budowlane powinny spełniać wymogi ustawy Prawo budowlane (</w:t>
      </w:r>
      <w:r w:rsidR="003000AA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2351 z późn. zm.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901EDE" w:rsidRPr="00901EDE" w:rsidRDefault="00901EDE" w:rsidP="00A06622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niniejsza decyzja nie rodzi praw do terenu oraz nie narusza prawa własności i uprawnień osób trzecich (art. 63 ust. 2 ustawy o planowaniu i zagospodarowaniu przestrzennym) ,</w:t>
      </w:r>
    </w:p>
    <w:p w:rsidR="00901EDE" w:rsidRPr="00901EDE" w:rsidRDefault="00901EDE" w:rsidP="00A06622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przy wykonywaniu swego prawa powinien powstrzymać się co do działań, które zakłócałyby korzystanie z nieruchomości sąsiednich;</w:t>
      </w:r>
    </w:p>
    <w:p w:rsidR="00901EDE" w:rsidRPr="00901EDE" w:rsidRDefault="00901EDE" w:rsidP="00A06622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ochrony obiektów budowlanych na terenach górniczych: </w:t>
      </w:r>
    </w:p>
    <w:p w:rsidR="00901EDE" w:rsidRPr="00901EDE" w:rsidRDefault="00901EDE" w:rsidP="00A06622">
      <w:pPr>
        <w:numPr>
          <w:ilvl w:val="0"/>
          <w:numId w:val="11"/>
        </w:numPr>
        <w:suppressAutoHyphens/>
        <w:spacing w:after="0" w:line="360" w:lineRule="auto"/>
        <w:ind w:left="1276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teren objęty wnioskiem nie jest położony w granicach terenu i obszaru górniczego;</w:t>
      </w:r>
    </w:p>
    <w:p w:rsidR="00901EDE" w:rsidRPr="00901EDE" w:rsidRDefault="00901EDE" w:rsidP="00A06622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Linie rozgraniczające teren inwestycji oznacza się na kopii mapy zasadniczej stanowiącej integralną część decyzji.</w:t>
      </w:r>
    </w:p>
    <w:p w:rsidR="00901EDE" w:rsidRPr="00901EDE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eren nie wymaga uzyskania zgody na zmianę przeznaczenia gruntów rolnych i leśnych na cele nierolnicze i nieleśne.</w:t>
      </w:r>
    </w:p>
    <w:p w:rsidR="00901EDE" w:rsidRPr="00901EDE" w:rsidRDefault="00901EDE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według przepisów odrębnych:</w:t>
      </w:r>
    </w:p>
    <w:p w:rsidR="00901EDE" w:rsidRPr="00901EDE" w:rsidRDefault="00901EDE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ochrona obiektów budowlanych na obszarach powodziowych: </w:t>
      </w:r>
      <w:r w:rsidRPr="00901EDE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nie dotyczy;</w:t>
      </w:r>
    </w:p>
    <w:p w:rsidR="00901EDE" w:rsidRPr="00901EDE" w:rsidRDefault="00901EDE" w:rsidP="00A0662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warunki:</w:t>
      </w:r>
    </w:p>
    <w:p w:rsidR="00901EDE" w:rsidRPr="00901EDE" w:rsidRDefault="00901EDE" w:rsidP="00A06622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W przypadku uszkodzenia istniejących urządzeń melioracji wodnych należy dokonać ich naprawy w sposób umożliwiający zachowanie dotychczasowych kierunków spływu.</w:t>
      </w:r>
    </w:p>
    <w:p w:rsidR="00901EDE" w:rsidRPr="00901EDE" w:rsidRDefault="00901EDE" w:rsidP="00A06622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musi spełniać wymogi rozporządzenia Ministra Infrastruktury z dnia 12 kwietnia 2002 r. w sprawie warunków technicznych, jakim powinny odpowiadać budynki i ich usytuowanie (</w:t>
      </w:r>
      <w:r w:rsidR="004F6B3B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1225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z późn. zm.).</w:t>
      </w:r>
    </w:p>
    <w:p w:rsidR="00901EDE" w:rsidRPr="00901EDE" w:rsidRDefault="00901EDE" w:rsidP="00A06622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Zakres i forma projektu budowlanego powinna odpowiadać warunkom określonym w rozporządzeniu Ministra Rozwoju z dnia 11 września 2020 r. w sprawie szczegółowego zakresu i formy projektu budowlanego (Dz. U. z 2020 r. poz. 1609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>).</w:t>
      </w:r>
    </w:p>
    <w:p w:rsidR="00901EDE" w:rsidRPr="00901EDE" w:rsidRDefault="00901EDE" w:rsidP="00A066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Należy zachować zgodne z przepisami Prawa budowlanego, przepisami szczegółowymi i Polskimi Normami odległości projektowanych obiektów od innych obiektów budowlanych i terenów oraz od infrastruktury podziemnej i nadziemnej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przebiegającej przez teren objęty decyzją i w jego bezpośrednim otoczeniu. Zaleca się uzgodnienie ww. odległości z właścicielami sieci. Dopuszcza się usunięcie kolizji na warunkach określonych przez właściciela sieci.</w:t>
      </w:r>
    </w:p>
    <w:p w:rsidR="00901EDE" w:rsidRPr="00901EDE" w:rsidRDefault="00901EDE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U Z A S A D N I E N I E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EDE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W dniu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x-none"/>
        </w:rPr>
        <w:t>29.03.</w:t>
      </w:r>
      <w:r w:rsidRPr="00901EDE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>20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x-none"/>
        </w:rPr>
        <w:t>22</w:t>
      </w:r>
      <w:r w:rsidRPr="00901EDE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 r. do Urzędu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x-none"/>
        </w:rPr>
        <w:t>Gminy</w:t>
      </w:r>
      <w:r w:rsidRPr="00901EDE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 </w:t>
      </w:r>
      <w:r w:rsidRPr="00901EDE">
        <w:rPr>
          <w:rFonts w:ascii="Times New Roman" w:eastAsia="Times New Roman" w:hAnsi="Times New Roman" w:cs="Arial Unicode MS"/>
          <w:sz w:val="24"/>
          <w:szCs w:val="24"/>
          <w:lang w:eastAsia="x-none"/>
        </w:rPr>
        <w:t>Bierzwniku</w:t>
      </w:r>
      <w:r w:rsidRPr="00901EDE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wpłynął wniosek w </w:t>
      </w:r>
      <w:r w:rsidRPr="00901E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przedmiotowej sprawie. W myśl art. 104 ustawy z dnia 14 czerwca 1960 r. – Kodeks postępowania administracyjnego w tut. Urzędzie przeprowadzono postępowanie administracyjne w sprawie wydania przedmiotowej decyzji o warunkach zabudowy i zagospodarowania terenu. Organ zapewnił stronom czynny udział na każdym etapie prowadzonego postępowania.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Wnioskowany teren nie jest objęty miejscowym planem zagospodarowania przestrzennego. Wobec powyższego, postępowanie o wydanie niniejszej decyzji było prowadzone zgodnie z wymogami ustawy z dnia 27 marca 2003 r. o planowaniu i zagospodarowaniu przestrzennym, jak dla terenu, dla którego brak jest miejscowego planu zagospodarowania przestrzennego i dla inwestycji, dla której nie ma obowiązku sporządzania takiego planu.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wymogami art. 61 ust. 1 ustawy z dnia 27 marca 2003 r. o planowaniu i zagospodarowaniu przestrzennym wydanie decyzji o warunkach zabudowy i zagospodarowania terenu jest możliwe w przypadku łącznego spełniania poniższych warunków: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ma dostęp do drogi publicznej;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lub projektowane uzbrojenie terenu jest wystarczające dla zamierzenia budowlanego (za spełnienie tego warunku uznaje się umowę gwarantującą wykonanie uzbrojenia terenu, zawartą pomiędzy właściwą jednostka organizacyjną, a inwestorem);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nie wymaga uzyskania zgody na zmianę przeznaczenia gruntów rolnych i leśnych na cele nierolnicze i nieleśne albo jest objęty zgodą uzyskaną przy sporządzaniu miejscowych planów, które utraciły moc na podstawie art. 67 ustawy z dnia 7 lipca 1994 r. o zagospodarowaniu przestrzennym;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jest zgodna z przepisami odrębnymi;</w:t>
      </w:r>
    </w:p>
    <w:p w:rsidR="00901EDE" w:rsidRPr="00901EDE" w:rsidRDefault="00901EDE" w:rsidP="00A06622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zamierzenie budowlane nie znajdzie się w obszarze:</w:t>
      </w:r>
    </w:p>
    <w:p w:rsidR="00901EDE" w:rsidRPr="00901EDE" w:rsidRDefault="00901EDE" w:rsidP="00A06622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</w:t>
      </w:r>
      <w:r w:rsidR="004F6B3B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2022 r. poz. 273 z późn. zm.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ustanowiony został zakaz, o którym mowa w art. 22 ust. 2 pkt 1 tej ustawy,</w:t>
      </w:r>
    </w:p>
    <w:p w:rsidR="00901EDE" w:rsidRPr="00901EDE" w:rsidRDefault="00901EDE" w:rsidP="00A06622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kontrolowanej wyznaczonej po obu stronach gazociągu,</w:t>
      </w:r>
    </w:p>
    <w:p w:rsidR="00901EDE" w:rsidRPr="00901EDE" w:rsidRDefault="00901EDE" w:rsidP="00A06622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31370079"/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 kontynuacji  funkcji,  w  tym  także  cech  zabudowy  i  zagospodarowania terenu, został wyłączony przez ustawodawcę w odniesieniu do instalacji odnawialnego źródła energii w rozumieniu art. 2 pkt 13 ustawy z dnia 20 lutego 2015 r. o odnawialnych źródłach energii.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 art.  2  pkt  13  ww.  przytoczonej  ustawy  przez  instalację  odnawialnego źródła energii należy rozumieć instalację stanowiącą wyodrębniony zespół urządzeń służących do wytwarzania energii opisanych przez dane techniczne i handlowe, w których energia jest  wytwarzana z odnawialnych źródeł energii; lub obiektów budowlanych i urządzeń stanowiących  całość  techniczno-użytkową  służący do wytwarzania  biogazu  rolniczego,  a  także  połączony  z  tym zespołem magazyn energii, w tym magazyn biogazu rolniczego.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powyższe rozważania, elektrownia fotowoltaiczna to instalacja odnawialnego źródła  energii,  która  dla  uzyskania  warunków  zabudowy  nie  wymaga  spełnienia wymogu dobrego sąsiedztwa (kontynuacji funkcji), w tym także dostępu do drogi publicznej.</w:t>
      </w:r>
      <w:bookmarkEnd w:id="5"/>
    </w:p>
    <w:p w:rsidR="00901EDE" w:rsidRPr="00901EDE" w:rsidRDefault="00901EDE" w:rsidP="00A06622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warunków i zasad zagospodarowania terenu oraz jego zabudowy, wynikających z przepisów odrębnych, stanu faktycznego i prawnego terenu, na którym przewiduje się realizację inwestycji (zgodnie z art. 53 ust. 3 ww. ustawy), na podstawie opisu inwestycji przedstawionego w wyżej wymienionym wniosku, ustalono powyższe warunki zabudowy terenu objętego wnioskiem.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5, art. 50 ust. 4 oraz art. 60 ust. 4 ustawy o planowaniu i zagospodarowaniu przestrzennym projekt decyzji o warunkach zabudowy i zagospodarowania terenu został przygotowany przez uprawnionego urbanistę.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4 ustawy o planowaniu i zagospodarowaniu przestrzennym wydanie  decyzji o warunkach zabudowy dla przedmiotowej inwestycji wymaga  uzyskania  uzgodnienia z:</w:t>
      </w:r>
    </w:p>
    <w:p w:rsidR="00901EDE" w:rsidRPr="00901EDE" w:rsidRDefault="00901EDE" w:rsidP="00A0662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ze Starostą Powiatu Choszczeńskiego</w:t>
      </w:r>
      <w:r w:rsidR="004F6B3B">
        <w:rPr>
          <w:rFonts w:ascii="Times New Roman" w:eastAsia="Times New Roman" w:hAnsi="Times New Roman" w:cs="Times New Roman"/>
          <w:sz w:val="24"/>
          <w:szCs w:val="24"/>
          <w:lang w:eastAsia="pl-PL"/>
        </w:rPr>
        <w:t>- milcząca zgoda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EDE" w:rsidRPr="00901EDE" w:rsidRDefault="00901EDE" w:rsidP="00A0662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pkt 6 z Państwowym Gospodarstwem Wodnym Wod</w:t>
      </w:r>
      <w:r w:rsidR="006D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Polskie- Zarząd </w:t>
      </w:r>
      <w:r w:rsidR="004F6B3B">
        <w:rPr>
          <w:rFonts w:ascii="Times New Roman" w:eastAsia="Times New Roman" w:hAnsi="Times New Roman" w:cs="Times New Roman"/>
          <w:sz w:val="24"/>
          <w:szCs w:val="24"/>
          <w:lang w:eastAsia="pl-PL"/>
        </w:rPr>
        <w:t>Zlewni</w:t>
      </w:r>
      <w:r w:rsidR="006D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Pile, postanowienie znak: BD.ZPU.522.815.2022.MP </w:t>
      </w:r>
      <w:r w:rsidR="00216B7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czerwca 2022 r.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1EDE" w:rsidRPr="00901EDE" w:rsidRDefault="00901EDE" w:rsidP="00A0662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9 z zarządcą drogi gminnej, uzgodnienie wewnętrzne,</w:t>
      </w:r>
    </w:p>
    <w:p w:rsidR="00901EDE" w:rsidRPr="00901EDE" w:rsidRDefault="00901EDE" w:rsidP="00A06622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8 z Regionalnym Dyrektorem Ochrony Środowiska w Szczecinie, Wydział Spraw Terenowych w Zło</w:t>
      </w:r>
      <w:r w:rsidR="00216B7F">
        <w:rPr>
          <w:rFonts w:ascii="Times New Roman" w:eastAsia="Times New Roman" w:hAnsi="Times New Roman" w:cs="Times New Roman"/>
          <w:sz w:val="24"/>
          <w:szCs w:val="24"/>
          <w:lang w:eastAsia="pl-PL"/>
        </w:rPr>
        <w:t>cieńcu- milcząca zgoda.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organów uzgadniających uwzględnione zostały w niniejszej decyzji.</w:t>
      </w:r>
    </w:p>
    <w:p w:rsid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wydanie decyzji nie jest sprzeczne  przepisem  art. 61 ust.1 ustawy o planowaniu i zagospodarowaniu przestrzennym oraz z przepisami szczególnymi orzekam, jak na wstępie decyzji.</w:t>
      </w:r>
    </w:p>
    <w:p w:rsidR="00A06622" w:rsidRDefault="00A06622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ADNOTACJA DOTYCZĄCA OPŁATY SKARBOWEJ</w:t>
      </w:r>
    </w:p>
    <w:p w:rsidR="00A06622" w:rsidRDefault="00A06622" w:rsidP="00A06622">
      <w:pPr>
        <w:autoSpaceDE w:val="0"/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decyzja nie podlega opłacie skarbowej zgodnie z art. 2 ust. 1 pkt 2 ustawy z dnia 16 listopada 2006 r. o opłacie skarbowej (t. j.: Dz. U. z 2021 r., poz. 1923 z późn. zm.).</w:t>
      </w:r>
    </w:p>
    <w:p w:rsidR="00A06622" w:rsidRDefault="00A06622" w:rsidP="00A06622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EDE" w:rsidRPr="00901EDE" w:rsidRDefault="00901EDE" w:rsidP="00A06622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 O U C Z E N I E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nie jest pozwoleniem na budowę. Do budowy można przystąpić po uzyskaniu ostatecznej decyzji o pozwoleniu na budowę, o którą należy wystąpić do Starosty Choszczeńskiego.</w:t>
      </w:r>
    </w:p>
    <w:p w:rsidR="00901EDE" w:rsidRPr="00901EDE" w:rsidRDefault="00901EDE" w:rsidP="00A0662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pierwszej instancji stwierdzi wygaszenie niniejszej decyzji, w przypadku, gdy inny wnioskodawca uzyskał pozwolenie na budowę lub zostanie uchwalony miejscowy plan zagospodarowania przestrzennego, zawierający ustalenia inne niż ustalenia decyzji, z wyjątkiem przypadku, gdy zostanie wydana ostateczna decyzja o pozwoleniu na budowę (art. 65 ustawy o planowaniu i zagospodarowaniu przestrzennym).</w:t>
      </w:r>
    </w:p>
    <w:p w:rsidR="00901EDE" w:rsidRPr="00901EDE" w:rsidRDefault="00901EDE" w:rsidP="00A0662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odwołanie do Samorządowego Kolegium Odwoławczego w Szczecinie, które wnosi się za pośrednictwem Wójta Gminy Bierzwnik w terminie 14 dni od daty jej doręczenia.</w:t>
      </w:r>
    </w:p>
    <w:p w:rsidR="00901EDE" w:rsidRPr="00901EDE" w:rsidRDefault="00901EDE" w:rsidP="00A0662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§1 i §2 ustawy z dnia 14 czerwca 1960 r. –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901EDE" w:rsidRPr="00901EDE" w:rsidRDefault="00901EDE" w:rsidP="00A0662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51 ust. 2e i art. 64 ust. 1 ustawy o planowaniu i zagospodarowaniu </w:t>
      </w:r>
      <w:r w:rsidRPr="00901E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przestrzennym podmiotowi, który wystąpił z wnioskiem o wydanie decyzji o warunkach zabudowy, przysługuje prawo wniesienia żądania wymierzenia kary o której mowa w art. 51 ust. 2 i art. 64 ust. 1.</w:t>
      </w:r>
    </w:p>
    <w:p w:rsidR="00901EDE" w:rsidRPr="00901EDE" w:rsidRDefault="00901EDE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EDE" w:rsidRPr="00901EDE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2F99" w:rsidRDefault="007C2F99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6622" w:rsidRDefault="00A06622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1EDE" w:rsidRPr="007C2F99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GoBack"/>
      <w:bookmarkEnd w:id="6"/>
      <w:r w:rsidRPr="007C2F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901EDE" w:rsidRPr="007C2F99" w:rsidRDefault="00901EDE" w:rsidP="00A0662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2F9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graficzny do decyzji,</w:t>
      </w:r>
    </w:p>
    <w:p w:rsidR="00901EDE" w:rsidRPr="007C2F99" w:rsidRDefault="00901EDE" w:rsidP="00A06622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2F99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opisowa.</w:t>
      </w:r>
    </w:p>
    <w:p w:rsidR="00901EDE" w:rsidRPr="007C2F99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1EDE" w:rsidRPr="007C2F99" w:rsidRDefault="00901EDE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2F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Otrzymują:</w:t>
      </w:r>
    </w:p>
    <w:p w:rsidR="007C2F99" w:rsidRPr="007C2F99" w:rsidRDefault="007C2F99" w:rsidP="00A06622">
      <w:pPr>
        <w:pStyle w:val="Wzorytekst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1. Wnioskodawca: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PCWO Energy Projekt Sp. z o. o.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ul. Emilii Plater 53, 00-113 Warszawa,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adres do korespondencji: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ul. Świętego Leonarda 7, 25-311 Kielce,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2. wg rozdzielnika w aktach sprawy,</w:t>
      </w:r>
    </w:p>
    <w:p w:rsidR="007C2F99" w:rsidRPr="007C2F99" w:rsidRDefault="007C2F99" w:rsidP="00A06622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3. aa.</w:t>
      </w:r>
    </w:p>
    <w:p w:rsidR="007C2F99" w:rsidRDefault="007C2F99" w:rsidP="00A06622">
      <w:pPr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C2F99" w:rsidRPr="007C2F99" w:rsidRDefault="007C2F99" w:rsidP="00A06622">
      <w:pPr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16B7F" w:rsidRDefault="00216B7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622" w:rsidRDefault="00A06622" w:rsidP="00A0662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7F" w:rsidRPr="00216B7F" w:rsidRDefault="00216B7F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B7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decyzji sporządził inż. Jakub Szarzyński.</w:t>
      </w:r>
    </w:p>
    <w:p w:rsidR="00216B7F" w:rsidRPr="00216B7F" w:rsidRDefault="00216B7F" w:rsidP="00A066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B7F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na podst. art. 5 pkt 4, art. 50 ust. 4 oraz art. 60 ust. 4 ustawy o planowaniu i zagospodarowaniu przestrzennym.</w:t>
      </w:r>
    </w:p>
    <w:p w:rsidR="00216B7F" w:rsidRPr="00216B7F" w:rsidRDefault="00216B7F" w:rsidP="00A0662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6B7F" w:rsidRDefault="00216B7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A06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8D0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8D0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EF" w:rsidRDefault="00E233EF" w:rsidP="008D0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9E" w:rsidRDefault="008D019E" w:rsidP="008D0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9E" w:rsidRDefault="008D019E" w:rsidP="008D0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C7" w:rsidRPr="008D019E" w:rsidRDefault="008F68C7" w:rsidP="008D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8C7" w:rsidRPr="008D019E" w:rsidSect="009728D3">
      <w:foot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99" w:rsidRDefault="00160699" w:rsidP="00A42E8E">
      <w:pPr>
        <w:spacing w:after="0" w:line="240" w:lineRule="auto"/>
      </w:pPr>
      <w:r>
        <w:separator/>
      </w:r>
    </w:p>
  </w:endnote>
  <w:endnote w:type="continuationSeparator" w:id="0">
    <w:p w:rsidR="00160699" w:rsidRDefault="00160699" w:rsidP="00A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7865"/>
      <w:docPartObj>
        <w:docPartGallery w:val="Page Numbers (Bottom of Page)"/>
        <w:docPartUnique/>
      </w:docPartObj>
    </w:sdtPr>
    <w:sdtEndPr/>
    <w:sdtContent>
      <w:p w:rsidR="00A42E8E" w:rsidRDefault="00A4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3C">
          <w:rPr>
            <w:noProof/>
          </w:rPr>
          <w:t>9</w:t>
        </w:r>
        <w:r>
          <w:fldChar w:fldCharType="end"/>
        </w:r>
      </w:p>
    </w:sdtContent>
  </w:sdt>
  <w:p w:rsidR="00A42E8E" w:rsidRDefault="00A42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99" w:rsidRDefault="00160699" w:rsidP="00A42E8E">
      <w:pPr>
        <w:spacing w:after="0" w:line="240" w:lineRule="auto"/>
      </w:pPr>
      <w:r>
        <w:separator/>
      </w:r>
    </w:p>
  </w:footnote>
  <w:footnote w:type="continuationSeparator" w:id="0">
    <w:p w:rsidR="00160699" w:rsidRDefault="00160699" w:rsidP="00A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9B466546"/>
    <w:name w:val="WW8Num4"/>
    <w:lvl w:ilvl="0">
      <w:start w:val="1"/>
      <w:numFmt w:val="decimal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3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91648F3"/>
    <w:multiLevelType w:val="multilevel"/>
    <w:tmpl w:val="A05C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0C45EE7"/>
    <w:multiLevelType w:val="multilevel"/>
    <w:tmpl w:val="0AC69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8B737B"/>
    <w:multiLevelType w:val="multilevel"/>
    <w:tmpl w:val="6CA4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438639B"/>
    <w:multiLevelType w:val="hybridMultilevel"/>
    <w:tmpl w:val="E10C23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004"/>
    <w:multiLevelType w:val="multilevel"/>
    <w:tmpl w:val="43C8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DA838F8"/>
    <w:multiLevelType w:val="hybridMultilevel"/>
    <w:tmpl w:val="9258DD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8C0EB9"/>
    <w:multiLevelType w:val="hybridMultilevel"/>
    <w:tmpl w:val="FB3E4760"/>
    <w:lvl w:ilvl="0" w:tplc="F886D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421DB1"/>
    <w:multiLevelType w:val="hybridMultilevel"/>
    <w:tmpl w:val="B1C0A42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34AF5F4D"/>
    <w:multiLevelType w:val="hybridMultilevel"/>
    <w:tmpl w:val="D25E0786"/>
    <w:lvl w:ilvl="0" w:tplc="F886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5B77EEF"/>
    <w:multiLevelType w:val="hybridMultilevel"/>
    <w:tmpl w:val="DF2E6C66"/>
    <w:lvl w:ilvl="0" w:tplc="4072A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313F30"/>
    <w:multiLevelType w:val="multilevel"/>
    <w:tmpl w:val="C01A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C8056F2"/>
    <w:multiLevelType w:val="multilevel"/>
    <w:tmpl w:val="8694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5220E1"/>
    <w:multiLevelType w:val="hybridMultilevel"/>
    <w:tmpl w:val="FFEA53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4"/>
  </w:num>
  <w:num w:numId="3">
    <w:abstractNumId w:val="28"/>
  </w:num>
  <w:num w:numId="4">
    <w:abstractNumId w:val="23"/>
  </w:num>
  <w:num w:numId="5">
    <w:abstractNumId w:val="26"/>
  </w:num>
  <w:num w:numId="6">
    <w:abstractNumId w:val="15"/>
  </w:num>
  <w:num w:numId="7">
    <w:abstractNumId w:val="16"/>
  </w:num>
  <w:num w:numId="8">
    <w:abstractNumId w:val="25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20"/>
  </w:num>
  <w:num w:numId="14">
    <w:abstractNumId w:val="29"/>
  </w:num>
  <w:num w:numId="15">
    <w:abstractNumId w:val="2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2"/>
  </w:num>
  <w:num w:numId="31">
    <w:abstractNumId w:val="13"/>
  </w:num>
  <w:num w:numId="32">
    <w:abstractNumId w:val="18"/>
  </w:num>
  <w:num w:numId="33">
    <w:abstractNumId w:val="27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B"/>
    <w:rsid w:val="000078B0"/>
    <w:rsid w:val="00016D2E"/>
    <w:rsid w:val="00037CD3"/>
    <w:rsid w:val="000708DC"/>
    <w:rsid w:val="000A2338"/>
    <w:rsid w:val="000A301F"/>
    <w:rsid w:val="000B0883"/>
    <w:rsid w:val="000C76AA"/>
    <w:rsid w:val="000E0FFC"/>
    <w:rsid w:val="000E2E16"/>
    <w:rsid w:val="000E4BA7"/>
    <w:rsid w:val="000F42C6"/>
    <w:rsid w:val="001132F2"/>
    <w:rsid w:val="0013072F"/>
    <w:rsid w:val="00154F1B"/>
    <w:rsid w:val="00160699"/>
    <w:rsid w:val="00170E68"/>
    <w:rsid w:val="001821F2"/>
    <w:rsid w:val="001B7D80"/>
    <w:rsid w:val="001F5F98"/>
    <w:rsid w:val="001F66A8"/>
    <w:rsid w:val="00206AD1"/>
    <w:rsid w:val="00216B7F"/>
    <w:rsid w:val="00221D5D"/>
    <w:rsid w:val="00242F05"/>
    <w:rsid w:val="0029365E"/>
    <w:rsid w:val="00293B93"/>
    <w:rsid w:val="002951C7"/>
    <w:rsid w:val="00297881"/>
    <w:rsid w:val="002A67A5"/>
    <w:rsid w:val="002B0B59"/>
    <w:rsid w:val="002B35F4"/>
    <w:rsid w:val="002C49DF"/>
    <w:rsid w:val="002D1A68"/>
    <w:rsid w:val="002E568A"/>
    <w:rsid w:val="003000AA"/>
    <w:rsid w:val="00334D48"/>
    <w:rsid w:val="003513A6"/>
    <w:rsid w:val="00356D0F"/>
    <w:rsid w:val="00370A91"/>
    <w:rsid w:val="0038019B"/>
    <w:rsid w:val="00380F9E"/>
    <w:rsid w:val="00383BB2"/>
    <w:rsid w:val="0038688F"/>
    <w:rsid w:val="003A29AE"/>
    <w:rsid w:val="003F0DB7"/>
    <w:rsid w:val="004978D4"/>
    <w:rsid w:val="004B278F"/>
    <w:rsid w:val="004B648B"/>
    <w:rsid w:val="004C26B4"/>
    <w:rsid w:val="004C718E"/>
    <w:rsid w:val="004F6B3B"/>
    <w:rsid w:val="005C48CC"/>
    <w:rsid w:val="005F6949"/>
    <w:rsid w:val="006101C7"/>
    <w:rsid w:val="00623D56"/>
    <w:rsid w:val="00633706"/>
    <w:rsid w:val="00654DCF"/>
    <w:rsid w:val="006713F5"/>
    <w:rsid w:val="00692AF4"/>
    <w:rsid w:val="006C5991"/>
    <w:rsid w:val="006C71F0"/>
    <w:rsid w:val="006D7348"/>
    <w:rsid w:val="006E5386"/>
    <w:rsid w:val="00714644"/>
    <w:rsid w:val="0073202F"/>
    <w:rsid w:val="0077037F"/>
    <w:rsid w:val="00770965"/>
    <w:rsid w:val="007C2F99"/>
    <w:rsid w:val="007C56DE"/>
    <w:rsid w:val="007D0B64"/>
    <w:rsid w:val="007E0E54"/>
    <w:rsid w:val="007E2BE1"/>
    <w:rsid w:val="007F2340"/>
    <w:rsid w:val="008036E1"/>
    <w:rsid w:val="00825280"/>
    <w:rsid w:val="00826BEB"/>
    <w:rsid w:val="008414EC"/>
    <w:rsid w:val="0085180D"/>
    <w:rsid w:val="00861CA3"/>
    <w:rsid w:val="00873AAC"/>
    <w:rsid w:val="0089470B"/>
    <w:rsid w:val="008B0027"/>
    <w:rsid w:val="008D019E"/>
    <w:rsid w:val="008F5A60"/>
    <w:rsid w:val="008F68C7"/>
    <w:rsid w:val="00901EDE"/>
    <w:rsid w:val="009315FB"/>
    <w:rsid w:val="009710D5"/>
    <w:rsid w:val="009728D3"/>
    <w:rsid w:val="009731C9"/>
    <w:rsid w:val="0099374B"/>
    <w:rsid w:val="00997DB6"/>
    <w:rsid w:val="009A3AEB"/>
    <w:rsid w:val="009A5D1E"/>
    <w:rsid w:val="009C17FF"/>
    <w:rsid w:val="009E21F8"/>
    <w:rsid w:val="009F430F"/>
    <w:rsid w:val="009F73BC"/>
    <w:rsid w:val="00A06622"/>
    <w:rsid w:val="00A42E8E"/>
    <w:rsid w:val="00A56D64"/>
    <w:rsid w:val="00A9376E"/>
    <w:rsid w:val="00AB6BBA"/>
    <w:rsid w:val="00AC3547"/>
    <w:rsid w:val="00AC7815"/>
    <w:rsid w:val="00AD385B"/>
    <w:rsid w:val="00AF0897"/>
    <w:rsid w:val="00B00E72"/>
    <w:rsid w:val="00B168D3"/>
    <w:rsid w:val="00B36C78"/>
    <w:rsid w:val="00B65931"/>
    <w:rsid w:val="00B80D3C"/>
    <w:rsid w:val="00BA4948"/>
    <w:rsid w:val="00BA4F1C"/>
    <w:rsid w:val="00BB49DD"/>
    <w:rsid w:val="00BB5A54"/>
    <w:rsid w:val="00BC1C2A"/>
    <w:rsid w:val="00BD314E"/>
    <w:rsid w:val="00BD541C"/>
    <w:rsid w:val="00BF462B"/>
    <w:rsid w:val="00C2448A"/>
    <w:rsid w:val="00C92423"/>
    <w:rsid w:val="00C93666"/>
    <w:rsid w:val="00CC7A39"/>
    <w:rsid w:val="00CD7DFB"/>
    <w:rsid w:val="00CF6050"/>
    <w:rsid w:val="00D1029E"/>
    <w:rsid w:val="00D2690E"/>
    <w:rsid w:val="00D27205"/>
    <w:rsid w:val="00D5295A"/>
    <w:rsid w:val="00D74188"/>
    <w:rsid w:val="00DB1AA8"/>
    <w:rsid w:val="00DB364C"/>
    <w:rsid w:val="00DB59C0"/>
    <w:rsid w:val="00E01F30"/>
    <w:rsid w:val="00E04255"/>
    <w:rsid w:val="00E132F2"/>
    <w:rsid w:val="00E233EF"/>
    <w:rsid w:val="00E247B9"/>
    <w:rsid w:val="00E41C6E"/>
    <w:rsid w:val="00E6046B"/>
    <w:rsid w:val="00E8682A"/>
    <w:rsid w:val="00E9158C"/>
    <w:rsid w:val="00E95A3F"/>
    <w:rsid w:val="00EB03D5"/>
    <w:rsid w:val="00EB799A"/>
    <w:rsid w:val="00EC376B"/>
    <w:rsid w:val="00EC7C6F"/>
    <w:rsid w:val="00ED6CC4"/>
    <w:rsid w:val="00ED76C6"/>
    <w:rsid w:val="00EE73FC"/>
    <w:rsid w:val="00EF0246"/>
    <w:rsid w:val="00EF3A3C"/>
    <w:rsid w:val="00EF54E0"/>
    <w:rsid w:val="00F02119"/>
    <w:rsid w:val="00F12F53"/>
    <w:rsid w:val="00F20ABF"/>
    <w:rsid w:val="00F25398"/>
    <w:rsid w:val="00F2554D"/>
    <w:rsid w:val="00F4373C"/>
    <w:rsid w:val="00F7251E"/>
    <w:rsid w:val="00F954F2"/>
    <w:rsid w:val="00FA74AB"/>
    <w:rsid w:val="00FB2903"/>
    <w:rsid w:val="00FC1405"/>
    <w:rsid w:val="00FC562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bierzwni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4BFA-4D01-4B42-88D5-0D68C0E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2020-12-22T10:44:00Z</cp:lastPrinted>
  <dcterms:created xsi:type="dcterms:W3CDTF">2022-07-26T10:31:00Z</dcterms:created>
  <dcterms:modified xsi:type="dcterms:W3CDTF">2022-07-26T10:54:00Z</dcterms:modified>
</cp:coreProperties>
</file>